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0"/>
        <w:gridCol w:w="3026"/>
      </w:tblGrid>
      <w:tr>
        <w:tc>
          <w:tcPr>
            <w:tcW w:type="dxa" w:w="6000"/>
            <w:tcBorders>
              <w:top w:val="nil" w:color="auto" w:sz="0"/>
              <w:left w:val="nil" w:color="auto" w:sz="0"/>
              <w:bottom w:val="nil" w:color="auto" w:sz="0"/>
              <w:right w:val="nil" w:color="auto" w:sz="0"/>
            </w:tcBorders>
            <w:shd w:fill="0F1F3D" w:val="clear"/>
            <w:tcMar>
              <w:top w:type="dxa" w:w="280"/>
              <w:left w:type="dxa" w:w="280"/>
              <w:bottom w:type="dxa" w:w="280"/>
              <w:right w:type="dxa" w:w="140"/>
            </w:tcMar>
            <w:vAlign w:val="center"/>
          </w:tcPr>
          <w:p>
            <w:r>
              <w:rPr>
                <w:rFonts w:ascii="Arial" w:cs="Arial" w:eastAsia="Arial" w:hAnsi="Arial"/>
                <w:color w:val="A0B4CC"/>
                <w:sz w:val="22"/>
                <w:szCs w:val="22"/>
              </w:rPr>
              <w:t xml:space="preserve">AML/CTF Compliance</w:t>
            </w:r>
          </w:p>
          <w:p>
            <w:pPr>
              <w:spacing w:after="40" w:before="60"/>
            </w:pPr>
            <w:r>
              <w:rPr>
                <w:rFonts w:ascii="Arial" w:cs="Arial" w:eastAsia="Arial" w:hAnsi="Arial"/>
                <w:b/>
                <w:bCs/>
                <w:color w:val="FFFFFF"/>
                <w:sz w:val="36"/>
                <w:szCs w:val="36"/>
              </w:rPr>
              <w:t xml:space="preserve">Suspicious Matter Report</w:t>
            </w:r>
          </w:p>
          <w:p>
            <w:r>
              <w:rPr>
                <w:rFonts w:ascii="Arial" w:cs="Arial" w:eastAsia="Arial" w:hAnsi="Arial"/>
                <w:b/>
                <w:bCs/>
                <w:color w:val="00D4C4"/>
                <w:sz w:val="28"/>
                <w:szCs w:val="28"/>
              </w:rPr>
              <w:t xml:space="preserve">SMR Policy</w:t>
            </w:r>
          </w:p>
          <w:p>
            <w:pPr>
              <w:spacing w:before="80"/>
            </w:pPr>
            <w:r>
              <w:rPr>
                <w:rFonts w:ascii="Arial" w:cs="Arial" w:eastAsia="Arial" w:hAnsi="Arial"/>
                <w:i/>
                <w:iCs/>
                <w:color w:val="A0B4CC"/>
                <w:sz w:val="20"/>
                <w:szCs w:val="20"/>
              </w:rPr>
              <w:t xml:space="preserve">How our firm identifies, escalates and records suspicious matters</w:t>
            </w:r>
          </w:p>
        </w:tc>
        <w:tc>
          <w:tcPr>
            <w:tcW w:type="dxa" w:w="3026"/>
            <w:tcBorders>
              <w:top w:val="nil" w:color="auto" w:sz="0"/>
              <w:left w:val="nil" w:color="auto" w:sz="0"/>
              <w:bottom w:val="nil" w:color="auto" w:sz="0"/>
              <w:right w:val="nil" w:color="auto" w:sz="0"/>
            </w:tcBorders>
            <w:shd w:fill="1A3260" w:val="clear"/>
            <w:tcMar>
              <w:top w:type="dxa" w:w="280"/>
              <w:left w:type="dxa" w:w="140"/>
              <w:bottom w:type="dxa" w:w="280"/>
              <w:right w:type="dxa" w:w="280"/>
            </w:tcMar>
            <w:vAlign w:val="center"/>
          </w:tcPr>
          <w:p>
            <w:pPr>
              <w:jc w:val="center"/>
            </w:pPr>
            <w:r>
              <w:rPr>
                <w:rFonts w:ascii="Arial" w:cs="Arial" w:eastAsia="Arial" w:hAnsi="Arial"/>
                <w:b/>
                <w:bCs/>
                <w:color w:val="FFFFFF"/>
                <w:sz w:val="40"/>
                <w:szCs w:val="40"/>
              </w:rPr>
              <w:t xml:space="preserve">SA</w:t>
            </w:r>
          </w:p>
          <w:p>
            <w:pPr>
              <w:spacing w:after="40" w:before="40"/>
              <w:jc w:val="center"/>
            </w:pPr>
            <w:r>
              <w:rPr>
                <w:rFonts w:ascii="Arial" w:cs="Arial" w:eastAsia="Arial" w:hAnsi="Arial"/>
                <w:b/>
                <w:bCs/>
                <w:color w:val="00D4C4"/>
                <w:sz w:val="24"/>
                <w:szCs w:val="24"/>
              </w:rPr>
              <w:t xml:space="preserve">SimpleAML</w:t>
            </w:r>
          </w:p>
          <w:p>
            <w:pPr>
              <w:jc w:val="center"/>
            </w:pPr>
            <w:r>
              <w:rPr>
                <w:rFonts w:ascii="Arial" w:cs="Arial" w:eastAsia="Arial" w:hAnsi="Arial"/>
                <w:color w:val="A0B4CC"/>
                <w:sz w:val="17"/>
                <w:szCs w:val="17"/>
              </w:rPr>
              <w:t xml:space="preserve">AML/CTF Compliance Register</w:t>
            </w:r>
          </w:p>
          <w:p>
            <w:pPr>
              <w:spacing w:before="20"/>
              <w:jc w:val="center"/>
            </w:pPr>
            <w:r>
              <w:rPr>
                <w:rFonts w:ascii="Arial" w:cs="Arial" w:eastAsia="Arial" w:hAnsi="Arial"/>
                <w:color w:val="00D4C4"/>
                <w:sz w:val="17"/>
                <w:szCs w:val="17"/>
              </w:rPr>
              <w:t xml:space="preserve">simpleaml.com.au</w:t>
            </w:r>
          </w:p>
        </w:tc>
      </w:tr>
    </w:tbl>
    <w:p>
      <w:pPr>
        <w:spacing w:after="0" w:before="0"/>
      </w:pPr>
      <w:r>
        <w:rPr>
          <w:rFonts w:ascii="Arial" w:cs="Arial" w:eastAsia="Arial" w:hAnsi="Arial"/>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E2E8F0" w:sz="1"/>
              <w:left w:val="single" w:color="E2E8F0" w:sz="1"/>
              <w:bottom w:val="single" w:color="E2E8F0" w:sz="1"/>
              <w:right w:val="single" w:color="E2E8F0" w:sz="1"/>
            </w:tcBorders>
            <w:shd w:fill="F4F6F8" w:val="clear"/>
            <w:tcMar>
              <w:top w:type="dxa" w:w="100"/>
              <w:left w:type="dxa" w:w="140"/>
              <w:bottom w:type="dxa" w:w="100"/>
              <w:right w:type="dxa" w:w="140"/>
            </w:tcMar>
          </w:tcPr>
          <w:p>
            <w:r>
              <w:rPr>
                <w:rFonts w:ascii="Arial" w:cs="Arial" w:eastAsia="Arial" w:hAnsi="Arial"/>
                <w:b/>
                <w:bCs/>
                <w:color w:val="475569"/>
                <w:sz w:val="21"/>
                <w:szCs w:val="21"/>
              </w:rPr>
              <w:t xml:space="preserve">Firm / Practice Name</w:t>
            </w:r>
          </w:p>
        </w:tc>
        <w:tc>
          <w:tcPr>
            <w:tcW w:type="dxa" w:w="6226"/>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r>
              <w:rPr>
                <w:rFonts w:ascii="Arial" w:cs="Arial" w:eastAsia="Arial" w:hAnsi="Arial"/>
                <w:color w:val="475569"/>
                <w:sz w:val="21"/>
                <w:szCs w:val="21"/>
              </w:rPr>
              <w:t xml:space="preserve">[Full legal name]</w:t>
            </w:r>
          </w:p>
        </w:tc>
      </w:tr>
      <w:tr>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r>
              <w:rPr>
                <w:rFonts w:ascii="Arial" w:cs="Arial" w:eastAsia="Arial" w:hAnsi="Arial"/>
                <w:b/>
                <w:bCs/>
                <w:color w:val="475569"/>
                <w:sz w:val="21"/>
                <w:szCs w:val="21"/>
              </w:rPr>
              <w:t xml:space="preserve">ABN</w:t>
            </w:r>
          </w:p>
        </w:tc>
        <w:tc>
          <w:tcPr>
            <w:tcW w:type="dxa" w:w="6226"/>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r>
              <w:rPr>
                <w:rFonts w:ascii="Arial" w:cs="Arial" w:eastAsia="Arial" w:hAnsi="Arial"/>
                <w:color w:val="475569"/>
                <w:sz w:val="21"/>
                <w:szCs w:val="21"/>
              </w:rPr>
              <w:t xml:space="preserve">[Your ABN]</w:t>
            </w:r>
          </w:p>
        </w:tc>
      </w:tr>
      <w:tr>
        <w:tc>
          <w:tcPr>
            <w:tcW w:type="dxa" w:w="2800"/>
            <w:tcBorders>
              <w:top w:val="single" w:color="E2E8F0" w:sz="1"/>
              <w:left w:val="single" w:color="E2E8F0" w:sz="1"/>
              <w:bottom w:val="single" w:color="E2E8F0" w:sz="1"/>
              <w:right w:val="single" w:color="E2E8F0" w:sz="1"/>
            </w:tcBorders>
            <w:shd w:fill="F4F6F8" w:val="clear"/>
            <w:tcMar>
              <w:top w:type="dxa" w:w="100"/>
              <w:left w:type="dxa" w:w="140"/>
              <w:bottom w:type="dxa" w:w="100"/>
              <w:right w:type="dxa" w:w="140"/>
            </w:tcMar>
          </w:tcPr>
          <w:p>
            <w:r>
              <w:rPr>
                <w:rFonts w:ascii="Arial" w:cs="Arial" w:eastAsia="Arial" w:hAnsi="Arial"/>
                <w:b/>
                <w:bCs/>
                <w:color w:val="475569"/>
                <w:sz w:val="21"/>
                <w:szCs w:val="21"/>
              </w:rPr>
              <w:t xml:space="preserve">AMLCO</w:t>
            </w:r>
          </w:p>
        </w:tc>
        <w:tc>
          <w:tcPr>
            <w:tcW w:type="dxa" w:w="6226"/>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r>
              <w:rPr>
                <w:rFonts w:ascii="Arial" w:cs="Arial" w:eastAsia="Arial" w:hAnsi="Arial"/>
                <w:color w:val="475569"/>
                <w:sz w:val="21"/>
                <w:szCs w:val="21"/>
              </w:rPr>
              <w:t xml:space="preserve">[Full name]</w:t>
            </w:r>
          </w:p>
        </w:tc>
      </w:tr>
      <w:tr>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r>
              <w:rPr>
                <w:rFonts w:ascii="Arial" w:cs="Arial" w:eastAsia="Arial" w:hAnsi="Arial"/>
                <w:b/>
                <w:bCs/>
                <w:color w:val="475569"/>
                <w:sz w:val="21"/>
                <w:szCs w:val="21"/>
              </w:rPr>
              <w:t xml:space="preserve">Reporting Officer</w:t>
            </w:r>
          </w:p>
        </w:tc>
        <w:tc>
          <w:tcPr>
            <w:tcW w:type="dxa" w:w="6226"/>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r>
              <w:rPr>
                <w:rFonts w:ascii="Arial" w:cs="Arial" w:eastAsia="Arial" w:hAnsi="Arial"/>
                <w:color w:val="475569"/>
                <w:sz w:val="21"/>
                <w:szCs w:val="21"/>
              </w:rPr>
              <w:t xml:space="preserve">[Full name — responsible for filing SMRs with AUSTRAC]</w:t>
            </w:r>
          </w:p>
        </w:tc>
      </w:tr>
      <w:tr>
        <w:tc>
          <w:tcPr>
            <w:tcW w:type="dxa" w:w="2800"/>
            <w:tcBorders>
              <w:top w:val="single" w:color="E2E8F0" w:sz="1"/>
              <w:left w:val="single" w:color="E2E8F0" w:sz="1"/>
              <w:bottom w:val="single" w:color="E2E8F0" w:sz="1"/>
              <w:right w:val="single" w:color="E2E8F0" w:sz="1"/>
            </w:tcBorders>
            <w:shd w:fill="F4F6F8" w:val="clear"/>
            <w:tcMar>
              <w:top w:type="dxa" w:w="100"/>
              <w:left w:type="dxa" w:w="140"/>
              <w:bottom w:type="dxa" w:w="100"/>
              <w:right w:type="dxa" w:w="140"/>
            </w:tcMar>
          </w:tcPr>
          <w:p>
            <w:r>
              <w:rPr>
                <w:rFonts w:ascii="Arial" w:cs="Arial" w:eastAsia="Arial" w:hAnsi="Arial"/>
                <w:b/>
                <w:bCs/>
                <w:color w:val="475569"/>
                <w:sz w:val="21"/>
                <w:szCs w:val="21"/>
              </w:rPr>
              <w:t xml:space="preserve">Date of Adoption</w:t>
            </w:r>
          </w:p>
        </w:tc>
        <w:tc>
          <w:tcPr>
            <w:tcW w:type="dxa" w:w="6226"/>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r>
              <w:rPr>
                <w:rFonts w:ascii="Arial" w:cs="Arial" w:eastAsia="Arial" w:hAnsi="Arial"/>
                <w:color w:val="475569"/>
                <w:sz w:val="21"/>
                <w:szCs w:val="21"/>
              </w:rPr>
              <w:t xml:space="preserve">[DD/MM/YYYY]</w:t>
            </w:r>
          </w:p>
        </w:tc>
      </w:tr>
      <w:tr>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r>
              <w:rPr>
                <w:rFonts w:ascii="Arial" w:cs="Arial" w:eastAsia="Arial" w:hAnsi="Arial"/>
                <w:b/>
                <w:bCs/>
                <w:color w:val="475569"/>
                <w:sz w:val="21"/>
                <w:szCs w:val="21"/>
              </w:rPr>
              <w:t xml:space="preserve">Next Review Date</w:t>
            </w:r>
          </w:p>
        </w:tc>
        <w:tc>
          <w:tcPr>
            <w:tcW w:type="dxa" w:w="6226"/>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r>
              <w:rPr>
                <w:rFonts w:ascii="Arial" w:cs="Arial" w:eastAsia="Arial" w:hAnsi="Arial"/>
                <w:color w:val="475569"/>
                <w:sz w:val="21"/>
                <w:szCs w:val="21"/>
              </w:rPr>
              <w:t xml:space="preserve">[DD/MM/YYYY]</w:t>
            </w:r>
          </w:p>
        </w:tc>
      </w:tr>
    </w:tbl>
    <w:p>
      <w:pPr>
        <w:spacing w:after="0" w:before="0"/>
      </w:pPr>
      <w:r>
        <w:rPr>
          <w:rFonts w:ascii="Arial" w:cs="Arial" w:eastAsia="Arial" w:hAnsi="Arial"/>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il" w:color="auto" w:sz="0"/>
              <w:left w:val="single" w:color="C0392B" w:sz="12"/>
              <w:bottom w:val="nil" w:color="auto" w:sz="0"/>
              <w:right w:val="nil" w:color="auto" w:sz="0"/>
            </w:tcBorders>
            <w:shd w:fill="FEF5F5" w:val="clear"/>
            <w:tcMar>
              <w:top w:type="dxa" w:w="120"/>
              <w:left w:type="dxa" w:w="200"/>
              <w:bottom w:type="dxa" w:w="120"/>
              <w:right w:type="dxa" w:w="140"/>
            </w:tcMar>
          </w:tcPr>
          <w:p>
            <w:pPr>
              <w:spacing w:after="80" w:before="0"/>
            </w:pPr>
            <w:r>
              <w:rPr>
                <w:rFonts w:ascii="Arial" w:cs="Arial" w:eastAsia="Arial" w:hAnsi="Arial"/>
                <w:b/>
                <w:bCs/>
                <w:color w:val="C0392B"/>
                <w:sz w:val="21"/>
                <w:szCs w:val="21"/>
              </w:rPr>
              <w:t xml:space="preserve">Tipping-Off Prohibition — Read This First</w:t>
            </w:r>
          </w:p>
          <w:p>
            <w:pPr>
              <w:spacing w:after="80" w:before="0"/>
            </w:pPr>
            <w:r>
              <w:rPr>
                <w:rFonts w:ascii="Arial" w:cs="Arial" w:eastAsia="Arial" w:hAnsi="Arial"/>
                <w:b w:val="false"/>
                <w:bCs w:val="false"/>
                <w:color w:val="1A1A2E"/>
                <w:sz w:val="21"/>
                <w:szCs w:val="21"/>
              </w:rPr>
              <w:t xml:space="preserve"/>
            </w:r>
          </w:p>
          <w:p>
            <w:pPr>
              <w:spacing w:after="80" w:before="0"/>
            </w:pPr>
            <w:r>
              <w:rPr>
                <w:rFonts w:ascii="Arial" w:cs="Arial" w:eastAsia="Arial" w:hAnsi="Arial"/>
                <w:b w:val="false"/>
                <w:bCs w:val="false"/>
                <w:color w:val="1A1A2E"/>
                <w:sz w:val="21"/>
                <w:szCs w:val="21"/>
              </w:rPr>
              <w:t xml:space="preserve">It is a CRIMINAL OFFENCE under section 123 of the AML/CTF Act to disclose to any person that a Suspicious Matter Report has been, is being, or may be filed — including to the client, to colleagues who do not need to know, or to any third party.</w:t>
            </w:r>
          </w:p>
          <w:p>
            <w:pPr>
              <w:spacing w:after="80" w:before="0"/>
            </w:pPr>
            <w:r>
              <w:rPr>
                <w:rFonts w:ascii="Arial" w:cs="Arial" w:eastAsia="Arial" w:hAnsi="Arial"/>
                <w:b w:val="false"/>
                <w:bCs w:val="false"/>
                <w:color w:val="1A1A2E"/>
                <w:sz w:val="21"/>
                <w:szCs w:val="21"/>
              </w:rPr>
              <w:t xml:space="preserve"/>
            </w:r>
          </w:p>
          <w:p>
            <w:pPr>
              <w:spacing w:after="0" w:before="0"/>
            </w:pPr>
            <w:r>
              <w:rPr>
                <w:rFonts w:ascii="Arial" w:cs="Arial" w:eastAsia="Arial" w:hAnsi="Arial"/>
                <w:b w:val="false"/>
                <w:bCs w:val="false"/>
                <w:color w:val="1A1A2E"/>
                <w:sz w:val="21"/>
                <w:szCs w:val="21"/>
              </w:rPr>
              <w:t xml:space="preserve">Do not inform the client that their matter is under review. Do not mention the SMR outside of the AMLCO chain. Violation can result in imprisonment of up to 2 years.</w:t>
            </w:r>
          </w:p>
        </w:tc>
      </w:tr>
    </w:tbl>
    <w:p>
      <w:pPr>
        <w:spacing w:after="0" w:before="0"/>
      </w:pPr>
      <w:r>
        <w:rPr>
          <w:rFonts w:ascii="Arial" w:cs="Arial" w:eastAsia="Arial" w:hAnsi="Arial"/>
          <w:sz w:val="22"/>
          <w:szCs w:val="22"/>
        </w:rPr>
        <w:t xml:space="preserve"/>
      </w:r>
    </w:p>
    <w:p>
      <w:pPr>
        <w:pStyle w:val="Heading1"/>
        <w:pBdr>
          <w:bottom w:val="single" w:color="00A896" w:sz="4" w:space="4"/>
        </w:pBdr>
        <w:spacing w:after="120" w:before="320"/>
      </w:pPr>
      <w:r>
        <w:rPr>
          <w:rFonts w:ascii="Arial" w:cs="Arial" w:eastAsia="Arial" w:hAnsi="Arial"/>
          <w:b/>
          <w:bCs/>
          <w:color w:val="0F1F3D"/>
          <w:sz w:val="28"/>
          <w:szCs w:val="28"/>
        </w:rPr>
        <w:t xml:space="preserve">1.  Purpose</w:t>
      </w:r>
    </w:p>
    <w:p>
      <w:pPr>
        <w:spacing w:after="100" w:before="0" w:line="276"/>
      </w:pPr>
      <w:r>
        <w:rPr>
          <w:rFonts w:ascii="Arial" w:cs="Arial" w:eastAsia="Arial" w:hAnsi="Arial"/>
          <w:color w:val="1A1A2E"/>
          <w:sz w:val="22"/>
          <w:szCs w:val="22"/>
        </w:rPr>
        <w:t xml:space="preserve">This policy sets out how [Firm Name] (the firm) identifies, escalates, reviews, and records suspicious matters in accordance with its obligations as a reporting entity under the Anti-Money Laundering and Counter-Terrorism Financing Act 2006 (Cth) (the AML/CTF Act).</w:t>
      </w:r>
    </w:p>
    <w:p>
      <w:pPr>
        <w:spacing w:after="100" w:before="0" w:line="276"/>
      </w:pPr>
      <w:r>
        <w:rPr>
          <w:rFonts w:ascii="Arial" w:cs="Arial" w:eastAsia="Arial" w:hAnsi="Arial"/>
          <w:color w:val="1A1A2E"/>
          <w:sz w:val="22"/>
          <w:szCs w:val="22"/>
        </w:rPr>
        <w:t xml:space="preserve">The firm is required to submit a Suspicious Matter Report (SMR) to AUSTRAC whenever there are reasonable grounds to suspect that a transaction, proposed transaction, or matter is connected to money laundering, terrorism financing, proliferation financing, or any other serious financial crime.</w:t>
      </w:r>
    </w:p>
    <w:p>
      <w:pPr>
        <w:spacing w:after="100" w:before="0" w:line="276"/>
      </w:pPr>
      <w:r>
        <w:rPr>
          <w:rFonts w:ascii="Arial" w:cs="Arial" w:eastAsia="Arial" w:hAnsi="Arial"/>
          <w:color w:val="1A1A2E"/>
          <w:sz w:val="22"/>
          <w:szCs w:val="22"/>
        </w:rPr>
        <w:t xml:space="preserve">This policy establishes the firm’s governance framework for SMR obligations. Operational records of all suspicious matters considered and reported are maintained in the firm’s AML/CTF compliance register, SimpleAML.</w:t>
      </w:r>
    </w:p>
    <w:p>
      <w:pPr>
        <w:spacing w:after="0" w:before="0"/>
      </w:pPr>
      <w:r>
        <w:rPr>
          <w:rFonts w:ascii="Arial" w:cs="Arial" w:eastAsia="Arial" w:hAnsi="Arial"/>
          <w:sz w:val="22"/>
          <w:szCs w:val="22"/>
        </w:rPr>
        <w:t xml:space="preserve"/>
      </w:r>
    </w:p>
    <w:p>
      <w:pPr>
        <w:pStyle w:val="Heading1"/>
        <w:pBdr>
          <w:bottom w:val="single" w:color="00A896" w:sz="4" w:space="4"/>
        </w:pBdr>
        <w:spacing w:after="120" w:before="320"/>
      </w:pPr>
      <w:r>
        <w:rPr>
          <w:rFonts w:ascii="Arial" w:cs="Arial" w:eastAsia="Arial" w:hAnsi="Arial"/>
          <w:b/>
          <w:bCs/>
          <w:color w:val="0F1F3D"/>
          <w:sz w:val="28"/>
          <w:szCs w:val="28"/>
        </w:rPr>
        <w:t xml:space="preserve">2.  Scope</w:t>
      </w:r>
    </w:p>
    <w:p>
      <w:pPr>
        <w:spacing w:after="100" w:before="0" w:line="276"/>
      </w:pPr>
      <w:r>
        <w:rPr>
          <w:rFonts w:ascii="Arial" w:cs="Arial" w:eastAsia="Arial" w:hAnsi="Arial"/>
          <w:color w:val="1A1A2E"/>
          <w:sz w:val="22"/>
          <w:szCs w:val="22"/>
        </w:rPr>
        <w:t xml:space="preserve">This policy applies to all staff of [Firm Name] who provide, assist in the provision of, or have oversight responsibilities for the firm’s designated services. This includes:</w:t>
      </w:r>
    </w:p>
    <w:p>
      <w:pPr>
        <w:pStyle w:val="ListParagraph"/>
        <w:numPr>
          <w:ilvl w:val="0"/>
          <w:numId w:val="2"/>
        </w:numPr>
        <w:spacing w:after="60" w:before="0"/>
      </w:pPr>
      <w:r>
        <w:rPr>
          <w:rFonts w:ascii="Arial" w:cs="Arial" w:eastAsia="Arial" w:hAnsi="Arial"/>
          <w:color w:val="1A1A2E"/>
          <w:sz w:val="22"/>
          <w:szCs w:val="22"/>
        </w:rPr>
        <w:t xml:space="preserve">The AML/CTF Compliance Officer (AMLCO)</w:t>
      </w:r>
    </w:p>
    <w:p>
      <w:pPr>
        <w:pStyle w:val="ListParagraph"/>
        <w:numPr>
          <w:ilvl w:val="0"/>
          <w:numId w:val="2"/>
        </w:numPr>
        <w:spacing w:after="60" w:before="0"/>
      </w:pPr>
      <w:r>
        <w:rPr>
          <w:rFonts w:ascii="Arial" w:cs="Arial" w:eastAsia="Arial" w:hAnsi="Arial"/>
          <w:color w:val="1A1A2E"/>
          <w:sz w:val="22"/>
          <w:szCs w:val="22"/>
        </w:rPr>
        <w:t xml:space="preserve">The Reporting Officer</w:t>
      </w:r>
    </w:p>
    <w:p>
      <w:pPr>
        <w:pStyle w:val="ListParagraph"/>
        <w:numPr>
          <w:ilvl w:val="0"/>
          <w:numId w:val="2"/>
        </w:numPr>
        <w:spacing w:after="60" w:before="0"/>
      </w:pPr>
      <w:r>
        <w:rPr>
          <w:rFonts w:ascii="Arial" w:cs="Arial" w:eastAsia="Arial" w:hAnsi="Arial"/>
          <w:color w:val="1A1A2E"/>
          <w:sz w:val="22"/>
          <w:szCs w:val="22"/>
        </w:rPr>
        <w:t xml:space="preserve">All staff performing client due diligence (CDD) or identity verification</w:t>
      </w:r>
    </w:p>
    <w:p>
      <w:pPr>
        <w:pStyle w:val="ListParagraph"/>
        <w:numPr>
          <w:ilvl w:val="0"/>
          <w:numId w:val="2"/>
        </w:numPr>
        <w:spacing w:after="60" w:before="0"/>
      </w:pPr>
      <w:r>
        <w:rPr>
          <w:rFonts w:ascii="Arial" w:cs="Arial" w:eastAsia="Arial" w:hAnsi="Arial"/>
          <w:color w:val="1A1A2E"/>
          <w:sz w:val="22"/>
          <w:szCs w:val="22"/>
        </w:rPr>
        <w:t xml:space="preserve">All staff with access to client compliance records</w:t>
      </w:r>
    </w:p>
    <w:p>
      <w:pPr>
        <w:pStyle w:val="ListParagraph"/>
        <w:numPr>
          <w:ilvl w:val="0"/>
          <w:numId w:val="2"/>
        </w:numPr>
        <w:spacing w:after="60" w:before="0"/>
      </w:pPr>
      <w:r>
        <w:rPr>
          <w:rFonts w:ascii="Arial" w:cs="Arial" w:eastAsia="Arial" w:hAnsi="Arial"/>
          <w:color w:val="1A1A2E"/>
          <w:sz w:val="22"/>
          <w:szCs w:val="22"/>
        </w:rPr>
        <w:t xml:space="preserve">Contractors and agents performing AML/CTF-relevant functions on behalf of the firm</w:t>
      </w:r>
    </w:p>
    <w:p>
      <w:pPr>
        <w:spacing w:after="0" w:before="0"/>
      </w:pPr>
      <w:r>
        <w:rPr>
          <w:rFonts w:ascii="Arial" w:cs="Arial" w:eastAsia="Arial" w:hAnsi="Arial"/>
          <w:sz w:val="22"/>
          <w:szCs w:val="22"/>
        </w:rPr>
        <w:t xml:space="preserve"/>
      </w:r>
    </w:p>
    <w:p>
      <w:pPr>
        <w:pStyle w:val="Heading1"/>
        <w:pBdr>
          <w:bottom w:val="single" w:color="00A896" w:sz="4" w:space="4"/>
        </w:pBdr>
        <w:spacing w:after="120" w:before="320"/>
      </w:pPr>
      <w:r>
        <w:rPr>
          <w:rFonts w:ascii="Arial" w:cs="Arial" w:eastAsia="Arial" w:hAnsi="Arial"/>
          <w:b/>
          <w:bCs/>
          <w:color w:val="0F1F3D"/>
          <w:sz w:val="28"/>
          <w:szCs w:val="28"/>
        </w:rPr>
        <w:t xml:space="preserve">3.  What is a Suspicious Matter?</w:t>
      </w:r>
    </w:p>
    <w:p>
      <w:pPr>
        <w:spacing w:after="100" w:before="0" w:line="276"/>
      </w:pPr>
      <w:r>
        <w:rPr>
          <w:rFonts w:ascii="Arial" w:cs="Arial" w:eastAsia="Arial" w:hAnsi="Arial"/>
          <w:color w:val="1A1A2E"/>
          <w:sz w:val="22"/>
          <w:szCs w:val="22"/>
        </w:rPr>
        <w:t xml:space="preserve">A suspicious matter is any transaction, proposed transaction, client behaviour, or circumstance that gives rise to a reasonable suspicion that the matter may be connected to:</w:t>
      </w:r>
    </w:p>
    <w:p>
      <w:pPr>
        <w:pStyle w:val="ListParagraph"/>
        <w:numPr>
          <w:ilvl w:val="0"/>
          <w:numId w:val="2"/>
        </w:numPr>
        <w:spacing w:after="60" w:before="0"/>
      </w:pPr>
      <w:r>
        <w:rPr>
          <w:rFonts w:ascii="Arial" w:cs="Arial" w:eastAsia="Arial" w:hAnsi="Arial"/>
          <w:color w:val="1A1A2E"/>
          <w:sz w:val="22"/>
          <w:szCs w:val="22"/>
        </w:rPr>
        <w:t xml:space="preserve">Money laundering or proceeds of crime</w:t>
      </w:r>
    </w:p>
    <w:p>
      <w:pPr>
        <w:pStyle w:val="ListParagraph"/>
        <w:numPr>
          <w:ilvl w:val="0"/>
          <w:numId w:val="2"/>
        </w:numPr>
        <w:spacing w:after="60" w:before="0"/>
      </w:pPr>
      <w:r>
        <w:rPr>
          <w:rFonts w:ascii="Arial" w:cs="Arial" w:eastAsia="Arial" w:hAnsi="Arial"/>
          <w:color w:val="1A1A2E"/>
          <w:sz w:val="22"/>
          <w:szCs w:val="22"/>
        </w:rPr>
        <w:t xml:space="preserve">Terrorism financing or proliferation financing</w:t>
      </w:r>
    </w:p>
    <w:p>
      <w:pPr>
        <w:pStyle w:val="ListParagraph"/>
        <w:numPr>
          <w:ilvl w:val="0"/>
          <w:numId w:val="2"/>
        </w:numPr>
        <w:spacing w:after="60" w:before="0"/>
      </w:pPr>
      <w:r>
        <w:rPr>
          <w:rFonts w:ascii="Arial" w:cs="Arial" w:eastAsia="Arial" w:hAnsi="Arial"/>
          <w:color w:val="1A1A2E"/>
          <w:sz w:val="22"/>
          <w:szCs w:val="22"/>
        </w:rPr>
        <w:t xml:space="preserve">An offence against a Commonwealth, State or Territory law</w:t>
      </w:r>
    </w:p>
    <w:p>
      <w:pPr>
        <w:pStyle w:val="ListParagraph"/>
        <w:numPr>
          <w:ilvl w:val="0"/>
          <w:numId w:val="2"/>
        </w:numPr>
        <w:spacing w:after="60" w:before="0"/>
      </w:pPr>
      <w:r>
        <w:rPr>
          <w:rFonts w:ascii="Arial" w:cs="Arial" w:eastAsia="Arial" w:hAnsi="Arial"/>
          <w:color w:val="1A1A2E"/>
          <w:sz w:val="22"/>
          <w:szCs w:val="22"/>
        </w:rPr>
        <w:t xml:space="preserve">Any other serious financial crime</w:t>
      </w:r>
    </w:p>
    <w:p>
      <w:pPr>
        <w:spacing w:after="0" w:before="0"/>
      </w:pPr>
      <w:r>
        <w:rPr>
          <w:rFonts w:ascii="Arial" w:cs="Arial" w:eastAsia="Arial" w:hAnsi="Arial"/>
          <w:sz w:val="22"/>
          <w:szCs w:val="22"/>
        </w:rPr>
        <w:t xml:space="preserve"/>
      </w:r>
    </w:p>
    <w:p>
      <w:pPr>
        <w:spacing w:after="100" w:before="0" w:line="276"/>
      </w:pPr>
      <w:r>
        <w:rPr>
          <w:rFonts w:ascii="Arial" w:cs="Arial" w:eastAsia="Arial" w:hAnsi="Arial"/>
          <w:color w:val="1A1A2E"/>
          <w:sz w:val="22"/>
          <w:szCs w:val="22"/>
        </w:rPr>
        <w:t xml:space="preserve">“Reasonable grounds” is an objective standard — it does not require certainty. If a reasonable person in the staff member’s position, with the same knowledge and training, would suspect ML/TF activity, the matter must be escalated to the AMLCO.</w:t>
      </w:r>
    </w:p>
    <w:p>
      <w:pPr>
        <w:spacing w:after="0" w:before="0"/>
      </w:pPr>
      <w:r>
        <w:rPr>
          <w:rFonts w:ascii="Arial" w:cs="Arial" w:eastAsia="Arial" w:hAnsi="Arial"/>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il" w:color="auto" w:sz="0"/>
              <w:left w:val="single" w:color="00A896" w:sz="12"/>
              <w:bottom w:val="nil" w:color="auto" w:sz="0"/>
              <w:right w:val="nil" w:color="auto" w:sz="0"/>
            </w:tcBorders>
            <w:shd w:fill="E8F8F6" w:val="clear"/>
            <w:tcMar>
              <w:top w:type="dxa" w:w="120"/>
              <w:left w:type="dxa" w:w="200"/>
              <w:bottom w:type="dxa" w:w="120"/>
              <w:right w:type="dxa" w:w="140"/>
            </w:tcMar>
          </w:tcPr>
          <w:p>
            <w:pPr>
              <w:spacing w:after="0" w:before="0"/>
            </w:pPr>
            <w:r>
              <w:rPr>
                <w:rFonts w:ascii="Arial" w:cs="Arial" w:eastAsia="Arial" w:hAnsi="Arial"/>
                <w:b w:val="false"/>
                <w:bCs w:val="false"/>
                <w:color w:val="1A1A2E"/>
                <w:sz w:val="21"/>
                <w:szCs w:val="21"/>
              </w:rPr>
              <w:t xml:space="preserve">The obligation to escalate arises when the suspicion forms — not after a decision is made to file an SMR. All escalated matters must be recorded in SimpleAML, whether or not an SMR is ultimately submitted to AUSTRAC.</w:t>
            </w:r>
          </w:p>
        </w:tc>
      </w:tr>
    </w:tbl>
    <w:p>
      <w:pPr>
        <w:spacing w:after="0" w:before="0"/>
      </w:pPr>
      <w:r>
        <w:rPr>
          <w:rFonts w:ascii="Arial" w:cs="Arial" w:eastAsia="Arial" w:hAnsi="Arial"/>
          <w:sz w:val="22"/>
          <w:szCs w:val="22"/>
        </w:rPr>
        <w:t xml:space="preserve"/>
      </w:r>
    </w:p>
    <w:p>
      <w:pPr>
        <w:pStyle w:val="Heading2"/>
        <w:spacing w:after="80" w:before="240"/>
      </w:pPr>
      <w:r>
        <w:rPr>
          <w:rFonts w:ascii="Arial" w:cs="Arial" w:eastAsia="Arial" w:hAnsi="Arial"/>
          <w:b/>
          <w:bCs/>
          <w:color w:val="0F1F3D"/>
          <w:sz w:val="24"/>
          <w:szCs w:val="24"/>
        </w:rPr>
        <w:t xml:space="preserve">3.1  Transaction Red Flags</w:t>
      </w:r>
    </w:p>
    <w:p>
      <w:pPr>
        <w:pStyle w:val="ListParagraph"/>
        <w:numPr>
          <w:ilvl w:val="0"/>
          <w:numId w:val="2"/>
        </w:numPr>
        <w:spacing w:after="60" w:before="0"/>
      </w:pPr>
      <w:r>
        <w:rPr>
          <w:rFonts w:ascii="Arial" w:cs="Arial" w:eastAsia="Arial" w:hAnsi="Arial"/>
          <w:color w:val="1A1A2E"/>
          <w:sz w:val="22"/>
          <w:szCs w:val="22"/>
        </w:rPr>
        <w:t xml:space="preserve">Unusually large cash transactions or requests to structure transactions below reporting thresholds</w:t>
      </w:r>
    </w:p>
    <w:p>
      <w:pPr>
        <w:pStyle w:val="ListParagraph"/>
        <w:numPr>
          <w:ilvl w:val="0"/>
          <w:numId w:val="2"/>
        </w:numPr>
        <w:spacing w:after="60" w:before="0"/>
      </w:pPr>
      <w:r>
        <w:rPr>
          <w:rFonts w:ascii="Arial" w:cs="Arial" w:eastAsia="Arial" w:hAnsi="Arial"/>
          <w:color w:val="1A1A2E"/>
          <w:sz w:val="22"/>
          <w:szCs w:val="22"/>
        </w:rPr>
        <w:t xml:space="preserve">Payments from or to unconnected third parties with no apparent business rationale</w:t>
      </w:r>
    </w:p>
    <w:p>
      <w:pPr>
        <w:pStyle w:val="ListParagraph"/>
        <w:numPr>
          <w:ilvl w:val="0"/>
          <w:numId w:val="2"/>
        </w:numPr>
        <w:spacing w:after="60" w:before="0"/>
      </w:pPr>
      <w:r>
        <w:rPr>
          <w:rFonts w:ascii="Arial" w:cs="Arial" w:eastAsia="Arial" w:hAnsi="Arial"/>
          <w:color w:val="1A1A2E"/>
          <w:sz w:val="22"/>
          <w:szCs w:val="22"/>
        </w:rPr>
        <w:t xml:space="preserve">Transactions that appear to have no legitimate commercial purpose</w:t>
      </w:r>
    </w:p>
    <w:p>
      <w:pPr>
        <w:pStyle w:val="ListParagraph"/>
        <w:numPr>
          <w:ilvl w:val="0"/>
          <w:numId w:val="2"/>
        </w:numPr>
        <w:spacing w:after="60" w:before="0"/>
      </w:pPr>
      <w:r>
        <w:rPr>
          <w:rFonts w:ascii="Arial" w:cs="Arial" w:eastAsia="Arial" w:hAnsi="Arial"/>
          <w:color w:val="1A1A2E"/>
          <w:sz w:val="22"/>
          <w:szCs w:val="22"/>
        </w:rPr>
        <w:t xml:space="preserve">Requests to avoid documentation or to conduct transactions anonymously</w:t>
      </w:r>
    </w:p>
    <w:p>
      <w:pPr>
        <w:pStyle w:val="ListParagraph"/>
        <w:numPr>
          <w:ilvl w:val="0"/>
          <w:numId w:val="2"/>
        </w:numPr>
        <w:spacing w:after="60" w:before="0"/>
      </w:pPr>
      <w:r>
        <w:rPr>
          <w:rFonts w:ascii="Arial" w:cs="Arial" w:eastAsia="Arial" w:hAnsi="Arial"/>
          <w:color w:val="1A1A2E"/>
          <w:sz w:val="22"/>
          <w:szCs w:val="22"/>
        </w:rPr>
        <w:t xml:space="preserve">Payments involving high-risk jurisdictions without clear explanation</w:t>
      </w:r>
    </w:p>
    <w:p>
      <w:pPr>
        <w:spacing w:after="0" w:before="0"/>
      </w:pPr>
      <w:r>
        <w:rPr>
          <w:rFonts w:ascii="Arial" w:cs="Arial" w:eastAsia="Arial" w:hAnsi="Arial"/>
          <w:sz w:val="22"/>
          <w:szCs w:val="22"/>
        </w:rPr>
        <w:t xml:space="preserve"/>
      </w:r>
    </w:p>
    <w:p>
      <w:pPr>
        <w:pStyle w:val="Heading2"/>
        <w:spacing w:after="80" w:before="240"/>
      </w:pPr>
      <w:r>
        <w:rPr>
          <w:rFonts w:ascii="Arial" w:cs="Arial" w:eastAsia="Arial" w:hAnsi="Arial"/>
          <w:b/>
          <w:bCs/>
          <w:color w:val="0F1F3D"/>
          <w:sz w:val="24"/>
          <w:szCs w:val="24"/>
        </w:rPr>
        <w:t xml:space="preserve">3.2  Client Behaviour Red Flags</w:t>
      </w:r>
    </w:p>
    <w:p>
      <w:pPr>
        <w:pStyle w:val="ListParagraph"/>
        <w:numPr>
          <w:ilvl w:val="0"/>
          <w:numId w:val="2"/>
        </w:numPr>
        <w:spacing w:after="60" w:before="0"/>
      </w:pPr>
      <w:r>
        <w:rPr>
          <w:rFonts w:ascii="Arial" w:cs="Arial" w:eastAsia="Arial" w:hAnsi="Arial"/>
          <w:color w:val="1A1A2E"/>
          <w:sz w:val="22"/>
          <w:szCs w:val="22"/>
        </w:rPr>
        <w:t xml:space="preserve">Reluctance or refusal to provide identity documents or beneficial ownership information</w:t>
      </w:r>
    </w:p>
    <w:p>
      <w:pPr>
        <w:pStyle w:val="ListParagraph"/>
        <w:numPr>
          <w:ilvl w:val="0"/>
          <w:numId w:val="2"/>
        </w:numPr>
        <w:spacing w:after="60" w:before="0"/>
      </w:pPr>
      <w:r>
        <w:rPr>
          <w:rFonts w:ascii="Arial" w:cs="Arial" w:eastAsia="Arial" w:hAnsi="Arial"/>
          <w:color w:val="1A1A2E"/>
          <w:sz w:val="22"/>
          <w:szCs w:val="22"/>
        </w:rPr>
        <w:t xml:space="preserve">Inconsistencies between stated purpose of service and actual instructions given</w:t>
      </w:r>
    </w:p>
    <w:p>
      <w:pPr>
        <w:pStyle w:val="ListParagraph"/>
        <w:numPr>
          <w:ilvl w:val="0"/>
          <w:numId w:val="2"/>
        </w:numPr>
        <w:spacing w:after="60" w:before="0"/>
      </w:pPr>
      <w:r>
        <w:rPr>
          <w:rFonts w:ascii="Arial" w:cs="Arial" w:eastAsia="Arial" w:hAnsi="Arial"/>
          <w:color w:val="1A1A2E"/>
          <w:sz w:val="22"/>
          <w:szCs w:val="22"/>
        </w:rPr>
        <w:t xml:space="preserve">Unexplained source of funds or sudden unexplained changes in financial position</w:t>
      </w:r>
    </w:p>
    <w:p>
      <w:pPr>
        <w:pStyle w:val="ListParagraph"/>
        <w:numPr>
          <w:ilvl w:val="0"/>
          <w:numId w:val="2"/>
        </w:numPr>
        <w:spacing w:after="60" w:before="0"/>
      </w:pPr>
      <w:r>
        <w:rPr>
          <w:rFonts w:ascii="Arial" w:cs="Arial" w:eastAsia="Arial" w:hAnsi="Arial"/>
          <w:color w:val="1A1A2E"/>
          <w:sz w:val="22"/>
          <w:szCs w:val="22"/>
        </w:rPr>
        <w:t xml:space="preserve">Client appears evasive, nervous or provides conflicting information</w:t>
      </w:r>
    </w:p>
    <w:p>
      <w:pPr>
        <w:pStyle w:val="ListParagraph"/>
        <w:numPr>
          <w:ilvl w:val="0"/>
          <w:numId w:val="2"/>
        </w:numPr>
        <w:spacing w:after="60" w:before="0"/>
      </w:pPr>
      <w:r>
        <w:rPr>
          <w:rFonts w:ascii="Arial" w:cs="Arial" w:eastAsia="Arial" w:hAnsi="Arial"/>
          <w:color w:val="1A1A2E"/>
          <w:sz w:val="22"/>
          <w:szCs w:val="22"/>
        </w:rPr>
        <w:t xml:space="preserve">Client is identified as a Politically Exposed Person (PEP) or has unexplained associations with PEPs</w:t>
      </w:r>
    </w:p>
    <w:p>
      <w:pPr>
        <w:pStyle w:val="ListParagraph"/>
        <w:numPr>
          <w:ilvl w:val="0"/>
          <w:numId w:val="2"/>
        </w:numPr>
        <w:spacing w:after="60" w:before="0"/>
      </w:pPr>
      <w:r>
        <w:rPr>
          <w:rFonts w:ascii="Arial" w:cs="Arial" w:eastAsia="Arial" w:hAnsi="Arial"/>
          <w:color w:val="1A1A2E"/>
          <w:sz w:val="22"/>
          <w:szCs w:val="22"/>
        </w:rPr>
        <w:t xml:space="preserve">Client insists on using cash or anonymised payment methods</w:t>
      </w:r>
    </w:p>
    <w:p>
      <w:pPr>
        <w:spacing w:after="0" w:before="0"/>
      </w:pPr>
      <w:r>
        <w:rPr>
          <w:rFonts w:ascii="Arial" w:cs="Arial" w:eastAsia="Arial" w:hAnsi="Arial"/>
          <w:sz w:val="22"/>
          <w:szCs w:val="22"/>
        </w:rPr>
        <w:t xml:space="preserve"/>
      </w:r>
    </w:p>
    <w:p>
      <w:pPr>
        <w:pStyle w:val="Heading1"/>
        <w:pBdr>
          <w:bottom w:val="single" w:color="00A896" w:sz="4" w:space="4"/>
        </w:pBdr>
        <w:spacing w:after="120" w:before="320"/>
      </w:pPr>
      <w:r>
        <w:rPr>
          <w:rFonts w:ascii="Arial" w:cs="Arial" w:eastAsia="Arial" w:hAnsi="Arial"/>
          <w:b/>
          <w:bCs/>
          <w:color w:val="0F1F3D"/>
          <w:sz w:val="28"/>
          <w:szCs w:val="28"/>
        </w:rPr>
        <w:t xml:space="preserve">4.  SMR Obligations</w:t>
      </w:r>
    </w:p>
    <w:p>
      <w:pPr>
        <w:pStyle w:val="Heading2"/>
        <w:spacing w:after="80" w:before="240"/>
      </w:pPr>
      <w:r>
        <w:rPr>
          <w:rFonts w:ascii="Arial" w:cs="Arial" w:eastAsia="Arial" w:hAnsi="Arial"/>
          <w:b/>
          <w:bCs/>
          <w:color w:val="0F1F3D"/>
          <w:sz w:val="24"/>
          <w:szCs w:val="24"/>
        </w:rPr>
        <w:t xml:space="preserve">4.1  Filing Obligation</w:t>
      </w:r>
    </w:p>
    <w:p>
      <w:pPr>
        <w:spacing w:after="100" w:before="0" w:line="276"/>
      </w:pPr>
      <w:r>
        <w:rPr>
          <w:rFonts w:ascii="Arial" w:cs="Arial" w:eastAsia="Arial" w:hAnsi="Arial"/>
          <w:color w:val="1A1A2E"/>
          <w:sz w:val="22"/>
          <w:szCs w:val="22"/>
        </w:rPr>
        <w:t xml:space="preserve">The firm must submit an SMR to AUSTRAC as soon as practicable after a suspicious matter is identified, and no later than:</w:t>
      </w:r>
    </w:p>
    <w:p>
      <w:pPr>
        <w:spacing w:after="0" w:before="0"/>
      </w:pPr>
      <w:r>
        <w:rPr>
          <w:rFonts w:ascii="Arial" w:cs="Arial" w:eastAsia="Arial" w:hAnsi="Arial"/>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513"/>
        <w:gridCol w:w="3513"/>
      </w:tblGrid>
      <w:tr>
        <w:tc>
          <w:tcPr>
            <w:tcW w:type="dxa" w:w="5513"/>
            <w:tcBorders>
              <w:top w:val="single" w:color="E2E8F0" w:sz="1"/>
              <w:left w:val="single" w:color="E2E8F0" w:sz="1"/>
              <w:bottom w:val="single" w:color="E2E8F0" w:sz="1"/>
              <w:right w:val="single" w:color="E2E8F0" w:sz="1"/>
            </w:tcBorders>
            <w:shd w:fill="0F1F3D" w:val="clear"/>
            <w:tcMar>
              <w:top w:type="dxa" w:w="100"/>
              <w:left w:type="dxa" w:w="140"/>
              <w:bottom w:type="dxa" w:w="100"/>
              <w:right w:type="dxa" w:w="140"/>
            </w:tcMar>
          </w:tcPr>
          <w:p>
            <w:r>
              <w:rPr>
                <w:rFonts w:ascii="Arial" w:cs="Arial" w:eastAsia="Arial" w:hAnsi="Arial"/>
                <w:b/>
                <w:bCs/>
                <w:color w:val="FFFFFF"/>
                <w:sz w:val="21"/>
                <w:szCs w:val="21"/>
              </w:rPr>
              <w:t xml:space="preserve">Nature of Suspicion</w:t>
            </w:r>
          </w:p>
        </w:tc>
        <w:tc>
          <w:tcPr>
            <w:tcW w:type="dxa" w:w="3513"/>
            <w:tcBorders>
              <w:top w:val="single" w:color="E2E8F0" w:sz="1"/>
              <w:left w:val="single" w:color="E2E8F0" w:sz="1"/>
              <w:bottom w:val="single" w:color="E2E8F0" w:sz="1"/>
              <w:right w:val="single" w:color="E2E8F0" w:sz="1"/>
            </w:tcBorders>
            <w:shd w:fill="0F1F3D" w:val="clear"/>
            <w:tcMar>
              <w:top w:type="dxa" w:w="100"/>
              <w:left w:type="dxa" w:w="140"/>
              <w:bottom w:type="dxa" w:w="100"/>
              <w:right w:type="dxa" w:w="140"/>
            </w:tcMar>
          </w:tcPr>
          <w:p>
            <w:r>
              <w:rPr>
                <w:rFonts w:ascii="Arial" w:cs="Arial" w:eastAsia="Arial" w:hAnsi="Arial"/>
                <w:b/>
                <w:bCs/>
                <w:color w:val="FFFFFF"/>
                <w:sz w:val="21"/>
                <w:szCs w:val="21"/>
              </w:rPr>
              <w:t xml:space="preserve">Filing Deadline</w:t>
            </w:r>
          </w:p>
        </w:tc>
      </w:tr>
      <w:tr>
        <w:tc>
          <w:tcPr>
            <w:tcW w:type="dxa" w:w="5513"/>
            <w:tcBorders>
              <w:top w:val="single" w:color="E2E8F0" w:sz="1"/>
              <w:left w:val="single" w:color="E2E8F0" w:sz="1"/>
              <w:bottom w:val="single" w:color="E2E8F0" w:sz="1"/>
              <w:right w:val="single" w:color="E2E8F0" w:sz="1"/>
            </w:tcBorders>
            <w:shd w:fill="F4F6F8" w:val="clear"/>
            <w:tcMar>
              <w:top w:type="dxa" w:w="100"/>
              <w:left w:type="dxa" w:w="140"/>
              <w:bottom w:type="dxa" w:w="100"/>
              <w:right w:type="dxa" w:w="140"/>
            </w:tcMar>
          </w:tcPr>
          <w:p>
            <w:r>
              <w:rPr>
                <w:rFonts w:ascii="Arial" w:cs="Arial" w:eastAsia="Arial" w:hAnsi="Arial"/>
                <w:color w:val="1A1A2E"/>
                <w:sz w:val="21"/>
                <w:szCs w:val="21"/>
              </w:rPr>
              <w:t xml:space="preserve">Suspicion of terrorism financing or financing of weapons proliferation</w:t>
            </w:r>
          </w:p>
        </w:tc>
        <w:tc>
          <w:tcPr>
            <w:tcW w:type="dxa" w:w="3513"/>
            <w:tcBorders>
              <w:top w:val="single" w:color="E2E8F0" w:sz="1"/>
              <w:left w:val="single" w:color="E2E8F0" w:sz="1"/>
              <w:bottom w:val="single" w:color="E2E8F0" w:sz="1"/>
              <w:right w:val="single" w:color="E2E8F0" w:sz="1"/>
            </w:tcBorders>
            <w:shd w:fill="F4F6F8" w:val="clear"/>
            <w:tcMar>
              <w:top w:type="dxa" w:w="100"/>
              <w:left w:type="dxa" w:w="140"/>
              <w:bottom w:type="dxa" w:w="100"/>
              <w:right w:type="dxa" w:w="140"/>
            </w:tcMar>
          </w:tcPr>
          <w:p>
            <w:r>
              <w:rPr>
                <w:rFonts w:ascii="Arial" w:cs="Arial" w:eastAsia="Arial" w:hAnsi="Arial"/>
                <w:b/>
                <w:bCs/>
                <w:color w:val="C0392B"/>
                <w:sz w:val="21"/>
                <w:szCs w:val="21"/>
              </w:rPr>
              <w:t xml:space="preserve">3 business days from when suspicion formed</w:t>
            </w:r>
          </w:p>
        </w:tc>
      </w:tr>
      <w:tr>
        <w:tc>
          <w:tcPr>
            <w:tcW w:type="dxa" w:w="5513"/>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r>
              <w:rPr>
                <w:rFonts w:ascii="Arial" w:cs="Arial" w:eastAsia="Arial" w:hAnsi="Arial"/>
                <w:color w:val="1A1A2E"/>
                <w:sz w:val="21"/>
                <w:szCs w:val="21"/>
              </w:rPr>
              <w:t xml:space="preserve">All other suspicious matters (ML, proceeds of crime, etc.)</w:t>
            </w:r>
          </w:p>
        </w:tc>
        <w:tc>
          <w:tcPr>
            <w:tcW w:type="dxa" w:w="3513"/>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r>
              <w:rPr>
                <w:rFonts w:ascii="Arial" w:cs="Arial" w:eastAsia="Arial" w:hAnsi="Arial"/>
                <w:b/>
                <w:bCs/>
                <w:color w:val="C0392B"/>
                <w:sz w:val="21"/>
                <w:szCs w:val="21"/>
              </w:rPr>
              <w:t xml:space="preserve">3 business days from when suspicion formed</w:t>
            </w:r>
          </w:p>
        </w:tc>
      </w:tr>
      <w:tr>
        <w:tc>
          <w:tcPr>
            <w:tcW w:type="dxa" w:w="5513"/>
            <w:tcBorders>
              <w:top w:val="single" w:color="E2E8F0" w:sz="1"/>
              <w:left w:val="single" w:color="E2E8F0" w:sz="1"/>
              <w:bottom w:val="single" w:color="E2E8F0" w:sz="1"/>
              <w:right w:val="single" w:color="E2E8F0" w:sz="1"/>
            </w:tcBorders>
            <w:shd w:fill="F4F6F8" w:val="clear"/>
            <w:tcMar>
              <w:top w:type="dxa" w:w="100"/>
              <w:left w:type="dxa" w:w="140"/>
              <w:bottom w:type="dxa" w:w="100"/>
              <w:right w:type="dxa" w:w="140"/>
            </w:tcMar>
          </w:tcPr>
          <w:p>
            <w:r>
              <w:rPr>
                <w:rFonts w:ascii="Arial" w:cs="Arial" w:eastAsia="Arial" w:hAnsi="Arial"/>
                <w:color w:val="1A1A2E"/>
                <w:sz w:val="21"/>
                <w:szCs w:val="21"/>
              </w:rPr>
              <w:t xml:space="preserve">Suspicion arising from a proposed transaction (before the transaction occurs)</w:t>
            </w:r>
          </w:p>
        </w:tc>
        <w:tc>
          <w:tcPr>
            <w:tcW w:type="dxa" w:w="3513"/>
            <w:tcBorders>
              <w:top w:val="single" w:color="E2E8F0" w:sz="1"/>
              <w:left w:val="single" w:color="E2E8F0" w:sz="1"/>
              <w:bottom w:val="single" w:color="E2E8F0" w:sz="1"/>
              <w:right w:val="single" w:color="E2E8F0" w:sz="1"/>
            </w:tcBorders>
            <w:shd w:fill="F4F6F8" w:val="clear"/>
            <w:tcMar>
              <w:top w:type="dxa" w:w="100"/>
              <w:left w:type="dxa" w:w="140"/>
              <w:bottom w:type="dxa" w:w="100"/>
              <w:right w:type="dxa" w:w="140"/>
            </w:tcMar>
          </w:tcPr>
          <w:p>
            <w:r>
              <w:rPr>
                <w:rFonts w:ascii="Arial" w:cs="Arial" w:eastAsia="Arial" w:hAnsi="Arial"/>
                <w:color w:val="C0392B"/>
                <w:sz w:val="21"/>
                <w:szCs w:val="21"/>
              </w:rPr>
              <w:t xml:space="preserve">Before the transaction is completed where possible</w:t>
            </w:r>
          </w:p>
        </w:tc>
      </w:tr>
    </w:tbl>
    <w:p>
      <w:pPr>
        <w:spacing w:after="0" w:before="0"/>
      </w:pPr>
      <w:r>
        <w:rPr>
          <w:rFonts w:ascii="Arial" w:cs="Arial" w:eastAsia="Arial" w:hAnsi="Arial"/>
          <w:sz w:val="22"/>
          <w:szCs w:val="22"/>
        </w:rPr>
        <w:t xml:space="preserve"/>
      </w:r>
    </w:p>
    <w:p>
      <w:pPr>
        <w:pStyle w:val="Heading2"/>
        <w:spacing w:after="80" w:before="240"/>
      </w:pPr>
      <w:r>
        <w:rPr>
          <w:rFonts w:ascii="Arial" w:cs="Arial" w:eastAsia="Arial" w:hAnsi="Arial"/>
          <w:b/>
          <w:bCs/>
          <w:color w:val="0F1F3D"/>
          <w:sz w:val="24"/>
          <w:szCs w:val="24"/>
        </w:rPr>
        <w:t xml:space="preserve">4.2  Threshold Transaction Reports (TTRs)</w:t>
      </w:r>
    </w:p>
    <w:p>
      <w:pPr>
        <w:spacing w:after="100" w:before="0" w:line="276"/>
      </w:pPr>
      <w:r>
        <w:rPr>
          <w:rFonts w:ascii="Arial" w:cs="Arial" w:eastAsia="Arial" w:hAnsi="Arial"/>
          <w:color w:val="1A1A2E"/>
          <w:sz w:val="22"/>
          <w:szCs w:val="22"/>
        </w:rPr>
        <w:t xml:space="preserve">The firm must also file a Threshold Transaction Report (TTR) with AUSTRAC for any cash transaction of AUD $10,000 or more (or the foreign currency equivalent). TTRs must be filed within 10 business days of the transaction.</w:t>
      </w:r>
    </w:p>
    <w:p>
      <w:pPr>
        <w:spacing w:after="0" w:before="0"/>
      </w:pPr>
      <w:r>
        <w:rPr>
          <w:rFonts w:ascii="Arial" w:cs="Arial" w:eastAsia="Arial" w:hAnsi="Arial"/>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il" w:color="auto" w:sz="0"/>
              <w:left w:val="single" w:color="C0392B" w:sz="12"/>
              <w:bottom w:val="nil" w:color="auto" w:sz="0"/>
              <w:right w:val="nil" w:color="auto" w:sz="0"/>
            </w:tcBorders>
            <w:shd w:fill="FEF5F5" w:val="clear"/>
            <w:tcMar>
              <w:top w:type="dxa" w:w="120"/>
              <w:left w:type="dxa" w:w="200"/>
              <w:bottom w:type="dxa" w:w="120"/>
              <w:right w:type="dxa" w:w="140"/>
            </w:tcMar>
          </w:tcPr>
          <w:p>
            <w:pPr>
              <w:spacing w:after="80" w:before="0"/>
            </w:pPr>
            <w:r>
              <w:rPr>
                <w:rFonts w:ascii="Arial" w:cs="Arial" w:eastAsia="Arial" w:hAnsi="Arial"/>
                <w:b/>
                <w:bCs/>
                <w:color w:val="C0392B"/>
                <w:sz w:val="21"/>
                <w:szCs w:val="21"/>
              </w:rPr>
              <w:t xml:space="preserve">Structuring Warning</w:t>
            </w:r>
          </w:p>
          <w:p>
            <w:pPr>
              <w:spacing w:after="0" w:before="0"/>
            </w:pPr>
            <w:r>
              <w:rPr>
                <w:rFonts w:ascii="Arial" w:cs="Arial" w:eastAsia="Arial" w:hAnsi="Arial"/>
                <w:b w:val="false"/>
                <w:bCs w:val="false"/>
                <w:color w:val="1A1A2E"/>
                <w:sz w:val="21"/>
                <w:szCs w:val="21"/>
              </w:rPr>
              <w:t xml:space="preserve">It is a criminal offence to structure transactions — that is, to deliberately break up transactions to avoid the $10,000 TTR threshold. If a client requests or appears to be doing this, the matter must be treated as a suspicious matter and escalated to the AMLCO immediately.</w:t>
            </w:r>
          </w:p>
        </w:tc>
      </w:tr>
    </w:tbl>
    <w:p>
      <w:pPr>
        <w:spacing w:after="0" w:before="0"/>
      </w:pPr>
      <w:r>
        <w:rPr>
          <w:rFonts w:ascii="Arial" w:cs="Arial" w:eastAsia="Arial" w:hAnsi="Arial"/>
          <w:sz w:val="22"/>
          <w:szCs w:val="22"/>
        </w:rPr>
        <w:t xml:space="preserve"/>
      </w:r>
    </w:p>
    <w:p>
      <w:pPr>
        <w:pStyle w:val="Heading1"/>
        <w:pBdr>
          <w:bottom w:val="single" w:color="00A896" w:sz="4" w:space="4"/>
        </w:pBdr>
        <w:spacing w:after="120" w:before="320"/>
      </w:pPr>
      <w:r>
        <w:rPr>
          <w:rFonts w:ascii="Arial" w:cs="Arial" w:eastAsia="Arial" w:hAnsi="Arial"/>
          <w:b/>
          <w:bCs/>
          <w:color w:val="0F1F3D"/>
          <w:sz w:val="28"/>
          <w:szCs w:val="28"/>
        </w:rPr>
        <w:t xml:space="preserve">5.  Escalation and AMLCO Review</w:t>
      </w:r>
    </w:p>
    <w:p>
      <w:pPr>
        <w:spacing w:after="100" w:before="0" w:line="276"/>
      </w:pPr>
      <w:r>
        <w:rPr>
          <w:rFonts w:ascii="Arial" w:cs="Arial" w:eastAsia="Arial" w:hAnsi="Arial"/>
          <w:color w:val="1A1A2E"/>
          <w:sz w:val="22"/>
          <w:szCs w:val="22"/>
        </w:rPr>
        <w:t xml:space="preserve">All suspicious matters must be escalated to the AMLCO in writing on the same business day that the suspicion forms. The AMLCO is responsible for:</w:t>
      </w:r>
    </w:p>
    <w:p>
      <w:pPr>
        <w:pStyle w:val="ListParagraph"/>
        <w:numPr>
          <w:ilvl w:val="0"/>
          <w:numId w:val="2"/>
        </w:numPr>
        <w:spacing w:after="60" w:before="0"/>
      </w:pPr>
      <w:r>
        <w:rPr>
          <w:rFonts w:ascii="Arial" w:cs="Arial" w:eastAsia="Arial" w:hAnsi="Arial"/>
          <w:color w:val="1A1A2E"/>
          <w:sz w:val="22"/>
          <w:szCs w:val="22"/>
        </w:rPr>
        <w:t xml:space="preserve">Reviewing the matter and determining whether an SMR must be filed with AUSTRAC</w:t>
      </w:r>
    </w:p>
    <w:p>
      <w:pPr>
        <w:pStyle w:val="ListParagraph"/>
        <w:numPr>
          <w:ilvl w:val="0"/>
          <w:numId w:val="2"/>
        </w:numPr>
        <w:spacing w:after="60" w:before="0"/>
      </w:pPr>
      <w:r>
        <w:rPr>
          <w:rFonts w:ascii="Arial" w:cs="Arial" w:eastAsia="Arial" w:hAnsi="Arial"/>
          <w:color w:val="1A1A2E"/>
          <w:sz w:val="22"/>
          <w:szCs w:val="22"/>
        </w:rPr>
        <w:t xml:space="preserve">Authorising or declining to file the SMR</w:t>
      </w:r>
    </w:p>
    <w:p>
      <w:pPr>
        <w:pStyle w:val="ListParagraph"/>
        <w:numPr>
          <w:ilvl w:val="0"/>
          <w:numId w:val="2"/>
        </w:numPr>
        <w:spacing w:after="60" w:before="0"/>
      </w:pPr>
      <w:r>
        <w:rPr>
          <w:rFonts w:ascii="Arial" w:cs="Arial" w:eastAsia="Arial" w:hAnsi="Arial"/>
          <w:color w:val="1A1A2E"/>
          <w:sz w:val="22"/>
          <w:szCs w:val="22"/>
        </w:rPr>
        <w:t xml:space="preserve">Documenting the outcome of the review, including the rationale for any decision not to file</w:t>
      </w:r>
    </w:p>
    <w:p>
      <w:pPr>
        <w:pStyle w:val="ListParagraph"/>
        <w:numPr>
          <w:ilvl w:val="0"/>
          <w:numId w:val="2"/>
        </w:numPr>
        <w:spacing w:after="60" w:before="0"/>
      </w:pPr>
      <w:r>
        <w:rPr>
          <w:rFonts w:ascii="Arial" w:cs="Arial" w:eastAsia="Arial" w:hAnsi="Arial"/>
          <w:color w:val="1A1A2E"/>
          <w:sz w:val="22"/>
          <w:szCs w:val="22"/>
        </w:rPr>
        <w:t xml:space="preserve">Ensuring the matter is recorded in SimpleAML regardless of the filing decision</w:t>
      </w:r>
    </w:p>
    <w:p>
      <w:pPr>
        <w:pStyle w:val="ListParagraph"/>
        <w:numPr>
          <w:ilvl w:val="0"/>
          <w:numId w:val="2"/>
        </w:numPr>
        <w:spacing w:after="60" w:before="0"/>
      </w:pPr>
      <w:r>
        <w:rPr>
          <w:rFonts w:ascii="Arial" w:cs="Arial" w:eastAsia="Arial" w:hAnsi="Arial"/>
          <w:color w:val="1A1A2E"/>
          <w:sz w:val="22"/>
          <w:szCs w:val="22"/>
        </w:rPr>
        <w:t xml:space="preserve">Instructing the Reporting Officer to file the SMR via the AUSTRAC Online portal if required</w:t>
      </w:r>
    </w:p>
    <w:p>
      <w:pPr>
        <w:spacing w:after="0" w:before="0"/>
      </w:pPr>
      <w:r>
        <w:rPr>
          <w:rFonts w:ascii="Arial" w:cs="Arial" w:eastAsia="Arial" w:hAnsi="Arial"/>
          <w:sz w:val="22"/>
          <w:szCs w:val="22"/>
        </w:rPr>
        <w:t xml:space="preserve"/>
      </w:r>
    </w:p>
    <w:p>
      <w:pPr>
        <w:spacing w:after="100" w:before="0" w:line="276"/>
      </w:pPr>
      <w:r>
        <w:rPr>
          <w:rFonts w:ascii="Arial" w:cs="Arial" w:eastAsia="Arial" w:hAnsi="Arial"/>
          <w:color w:val="1A1A2E"/>
          <w:sz w:val="22"/>
          <w:szCs w:val="22"/>
        </w:rPr>
        <w:t xml:space="preserve">Not every escalated matter will result in an SMR. The AMLCO may determine that a matter is adequately explained by legitimate circumstances. Where this occurs, the matter must still be recorded in SimpleAML as a considered and resolved incident.</w:t>
      </w:r>
    </w:p>
    <w:p>
      <w:pPr>
        <w:spacing w:after="0" w:before="0"/>
      </w:pPr>
      <w:r>
        <w:rPr>
          <w:rFonts w:ascii="Arial" w:cs="Arial" w:eastAsia="Arial" w:hAnsi="Arial"/>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il" w:color="auto" w:sz="0"/>
              <w:left w:val="single" w:color="00A896" w:sz="12"/>
              <w:bottom w:val="nil" w:color="auto" w:sz="0"/>
              <w:right w:val="nil" w:color="auto" w:sz="0"/>
            </w:tcBorders>
            <w:shd w:fill="E8F8F6" w:val="clear"/>
            <w:tcMar>
              <w:top w:type="dxa" w:w="120"/>
              <w:left w:type="dxa" w:w="200"/>
              <w:bottom w:type="dxa" w:w="120"/>
              <w:right w:type="dxa" w:w="140"/>
            </w:tcMar>
          </w:tcPr>
          <w:p>
            <w:pPr>
              <w:spacing w:after="0" w:before="0"/>
            </w:pPr>
            <w:r>
              <w:rPr>
                <w:rFonts w:ascii="Arial" w:cs="Arial" w:eastAsia="Arial" w:hAnsi="Arial"/>
                <w:b w:val="false"/>
                <w:bCs w:val="false"/>
                <w:color w:val="1A1A2E"/>
                <w:sz w:val="21"/>
                <w:szCs w:val="21"/>
              </w:rPr>
              <w:t xml:space="preserve">Every suspicious matter considered — whether or not it results in an SMR — must be recorded in SimpleAML. A register that shows no incidents despite years of client activity is harder to defend to AUSTRAC than one that shows active consideration and resolution.</w:t>
            </w:r>
          </w:p>
        </w:tc>
      </w:tr>
    </w:tbl>
    <w:p>
      <w:pPr>
        <w:spacing w:after="0" w:before="0"/>
      </w:pPr>
      <w:r>
        <w:rPr>
          <w:rFonts w:ascii="Arial" w:cs="Arial" w:eastAsia="Arial" w:hAnsi="Arial"/>
          <w:sz w:val="22"/>
          <w:szCs w:val="22"/>
        </w:rPr>
        <w:t xml:space="preserve"/>
      </w:r>
    </w:p>
    <w:p>
      <w:pPr>
        <w:pStyle w:val="Heading1"/>
        <w:pBdr>
          <w:bottom w:val="single" w:color="00A896" w:sz="4" w:space="4"/>
        </w:pBdr>
        <w:spacing w:after="120" w:before="320"/>
      </w:pPr>
      <w:r>
        <w:rPr>
          <w:rFonts w:ascii="Arial" w:cs="Arial" w:eastAsia="Arial" w:hAnsi="Arial"/>
          <w:b/>
          <w:bCs/>
          <w:color w:val="0F1F3D"/>
          <w:sz w:val="28"/>
          <w:szCs w:val="28"/>
        </w:rPr>
        <w:t xml:space="preserve">6.  SimpleAML as the SMR Register</w:t>
      </w:r>
    </w:p>
    <w:p>
      <w:pPr>
        <w:spacing w:after="100" w:before="0" w:line="276"/>
      </w:pPr>
      <w:r>
        <w:rPr>
          <w:rFonts w:ascii="Arial" w:cs="Arial" w:eastAsia="Arial" w:hAnsi="Arial"/>
          <w:color w:val="1A1A2E"/>
          <w:sz w:val="22"/>
          <w:szCs w:val="22"/>
        </w:rPr>
        <w:t xml:space="preserve">The firm’s SMR and incident register is maintained in SimpleAML (simpleaml.com.au), the firm’s AML/CTF compliance register.</w:t>
      </w:r>
    </w:p>
    <w:p>
      <w:pPr>
        <w:spacing w:after="100" w:before="0" w:line="276"/>
      </w:pPr>
      <w:r>
        <w:rPr>
          <w:rFonts w:ascii="Arial" w:cs="Arial" w:eastAsia="Arial" w:hAnsi="Arial"/>
          <w:color w:val="1A1A2E"/>
          <w:sz w:val="22"/>
          <w:szCs w:val="22"/>
        </w:rPr>
        <w:t xml:space="preserve">SimpleAML is a compliance register. It records that suspicious matters were considered, by whom, and what decision was made. It does not store copies of internal correspondence, client files, AUSTRAC submissions, or supporting documents. Those materials are maintained in the firm’s own filing systems.</w:t>
      </w:r>
    </w:p>
    <w:p>
      <w:pPr>
        <w:spacing w:after="0" w:before="0"/>
      </w:pPr>
      <w:r>
        <w:rPr>
          <w:rFonts w:ascii="Arial" w:cs="Arial" w:eastAsia="Arial" w:hAnsi="Arial"/>
          <w:sz w:val="22"/>
          <w:szCs w:val="22"/>
        </w:rPr>
        <w:t xml:space="preserve"/>
      </w:r>
    </w:p>
    <w:p>
      <w:pPr>
        <w:pStyle w:val="Heading2"/>
        <w:spacing w:after="80" w:before="240"/>
      </w:pPr>
      <w:r>
        <w:rPr>
          <w:rFonts w:ascii="Arial" w:cs="Arial" w:eastAsia="Arial" w:hAnsi="Arial"/>
          <w:b/>
          <w:bCs/>
          <w:color w:val="0F1F3D"/>
          <w:sz w:val="24"/>
          <w:szCs w:val="24"/>
        </w:rPr>
        <w:t xml:space="preserve">6.1  What is recorded in SimpleAML</w:t>
      </w:r>
    </w:p>
    <w:p>
      <w:pPr>
        <w:spacing w:after="100" w:before="0" w:line="276"/>
      </w:pPr>
      <w:r>
        <w:rPr>
          <w:rFonts w:ascii="Arial" w:cs="Arial" w:eastAsia="Arial" w:hAnsi="Arial"/>
          <w:color w:val="1A1A2E"/>
          <w:sz w:val="22"/>
          <w:szCs w:val="22"/>
        </w:rPr>
        <w:t xml:space="preserve">For every suspicious matter considered, the following is recorded in SimpleAML:</w:t>
      </w:r>
    </w:p>
    <w:p>
      <w:pPr>
        <w:pStyle w:val="ListParagraph"/>
        <w:numPr>
          <w:ilvl w:val="0"/>
          <w:numId w:val="2"/>
        </w:numPr>
        <w:spacing w:after="60" w:before="0"/>
      </w:pPr>
      <w:r>
        <w:rPr>
          <w:rFonts w:ascii="Arial" w:cs="Arial" w:eastAsia="Arial" w:hAnsi="Arial"/>
          <w:color w:val="1A1A2E"/>
          <w:sz w:val="22"/>
          <w:szCs w:val="22"/>
        </w:rPr>
        <w:t xml:space="preserve">Client name and entity type (linked from the firm’s client register)</w:t>
      </w:r>
    </w:p>
    <w:p>
      <w:pPr>
        <w:pStyle w:val="ListParagraph"/>
        <w:numPr>
          <w:ilvl w:val="0"/>
          <w:numId w:val="2"/>
        </w:numPr>
        <w:spacing w:after="60" w:before="0"/>
      </w:pPr>
      <w:r>
        <w:rPr>
          <w:rFonts w:ascii="Arial" w:cs="Arial" w:eastAsia="Arial" w:hAnsi="Arial"/>
          <w:color w:val="1A1A2E"/>
          <w:sz w:val="22"/>
          <w:szCs w:val="22"/>
        </w:rPr>
        <w:t xml:space="preserve">Date the matter was identified</w:t>
      </w:r>
    </w:p>
    <w:p>
      <w:pPr>
        <w:pStyle w:val="ListParagraph"/>
        <w:numPr>
          <w:ilvl w:val="0"/>
          <w:numId w:val="2"/>
        </w:numPr>
        <w:spacing w:after="60" w:before="0"/>
      </w:pPr>
      <w:r>
        <w:rPr>
          <w:rFonts w:ascii="Arial" w:cs="Arial" w:eastAsia="Arial" w:hAnsi="Arial"/>
          <w:color w:val="1A1A2E"/>
          <w:sz w:val="22"/>
          <w:szCs w:val="22"/>
        </w:rPr>
        <w:t xml:space="preserve">Nature of the suspicion — a description of what behaviour, transaction, or information gave rise to the concern</w:t>
      </w:r>
    </w:p>
    <w:p>
      <w:pPr>
        <w:pStyle w:val="ListParagraph"/>
        <w:numPr>
          <w:ilvl w:val="0"/>
          <w:numId w:val="2"/>
        </w:numPr>
        <w:spacing w:after="60" w:before="0"/>
      </w:pPr>
      <w:r>
        <w:rPr>
          <w:rFonts w:ascii="Arial" w:cs="Arial" w:eastAsia="Arial" w:hAnsi="Arial"/>
          <w:color w:val="1A1A2E"/>
          <w:sz w:val="22"/>
          <w:szCs w:val="22"/>
        </w:rPr>
        <w:t xml:space="preserve">Individuals involved, where known</w:t>
      </w:r>
    </w:p>
    <w:p>
      <w:pPr>
        <w:pStyle w:val="ListParagraph"/>
        <w:numPr>
          <w:ilvl w:val="0"/>
          <w:numId w:val="2"/>
        </w:numPr>
        <w:spacing w:after="60" w:before="0"/>
      </w:pPr>
      <w:r>
        <w:rPr>
          <w:rFonts w:ascii="Arial" w:cs="Arial" w:eastAsia="Arial" w:hAnsi="Arial"/>
          <w:color w:val="1A1A2E"/>
          <w:sz w:val="22"/>
          <w:szCs w:val="22"/>
        </w:rPr>
        <w:t xml:space="preserve">Date reviewed by the AMLCO and the outcome</w:t>
      </w:r>
    </w:p>
    <w:p>
      <w:pPr>
        <w:pStyle w:val="ListParagraph"/>
        <w:numPr>
          <w:ilvl w:val="0"/>
          <w:numId w:val="2"/>
        </w:numPr>
        <w:spacing w:after="60" w:before="0"/>
      </w:pPr>
      <w:r>
        <w:rPr>
          <w:rFonts w:ascii="Arial" w:cs="Arial" w:eastAsia="Arial" w:hAnsi="Arial"/>
          <w:color w:val="1A1A2E"/>
          <w:sz w:val="22"/>
          <w:szCs w:val="22"/>
        </w:rPr>
        <w:t xml:space="preserve">Date reported to AUSTRAC and AUSTRAC reference number (where an SMR was filed)</w:t>
      </w:r>
    </w:p>
    <w:p>
      <w:pPr>
        <w:pStyle w:val="ListParagraph"/>
        <w:numPr>
          <w:ilvl w:val="0"/>
          <w:numId w:val="2"/>
        </w:numPr>
        <w:spacing w:after="60" w:before="0"/>
      </w:pPr>
      <w:r>
        <w:rPr>
          <w:rFonts w:ascii="Arial" w:cs="Arial" w:eastAsia="Arial" w:hAnsi="Arial"/>
          <w:color w:val="1A1A2E"/>
          <w:sz w:val="22"/>
          <w:szCs w:val="22"/>
        </w:rPr>
        <w:t xml:space="preserve">Status of the incident — open or closed</w:t>
      </w:r>
    </w:p>
    <w:p>
      <w:pPr>
        <w:spacing w:after="0" w:before="0"/>
      </w:pPr>
      <w:r>
        <w:rPr>
          <w:rFonts w:ascii="Arial" w:cs="Arial" w:eastAsia="Arial" w:hAnsi="Arial"/>
          <w:sz w:val="22"/>
          <w:szCs w:val="22"/>
        </w:rPr>
        <w:t xml:space="preserve"/>
      </w:r>
    </w:p>
    <w:p>
      <w:pPr>
        <w:pStyle w:val="Heading2"/>
        <w:spacing w:after="80" w:before="240"/>
      </w:pPr>
      <w:r>
        <w:rPr>
          <w:rFonts w:ascii="Arial" w:cs="Arial" w:eastAsia="Arial" w:hAnsi="Arial"/>
          <w:b/>
          <w:bCs/>
          <w:color w:val="0F1F3D"/>
          <w:sz w:val="24"/>
          <w:szCs w:val="24"/>
        </w:rPr>
        <w:t xml:space="preserve">6.2  What is stored in the firm’s own systems</w:t>
      </w:r>
    </w:p>
    <w:p>
      <w:pPr>
        <w:spacing w:after="100" w:before="0" w:line="276"/>
      </w:pPr>
      <w:r>
        <w:rPr>
          <w:rFonts w:ascii="Arial" w:cs="Arial" w:eastAsia="Arial" w:hAnsi="Arial"/>
          <w:color w:val="1A1A2E"/>
          <w:sz w:val="22"/>
          <w:szCs w:val="22"/>
        </w:rPr>
        <w:t xml:space="preserve">The firm’s filing system (e.g. SharePoint, Google Drive, or equivalent) is the firm’s document cabinet. The following supporting materials are stored there, not in SimpleAML:</w:t>
      </w:r>
    </w:p>
    <w:p>
      <w:pPr>
        <w:pStyle w:val="ListParagraph"/>
        <w:numPr>
          <w:ilvl w:val="0"/>
          <w:numId w:val="2"/>
        </w:numPr>
        <w:spacing w:after="60" w:before="0"/>
      </w:pPr>
      <w:r>
        <w:rPr>
          <w:rFonts w:ascii="Arial" w:cs="Arial" w:eastAsia="Arial" w:hAnsi="Arial"/>
          <w:color w:val="1A1A2E"/>
          <w:sz w:val="22"/>
          <w:szCs w:val="22"/>
        </w:rPr>
        <w:t xml:space="preserve">Internal escalation correspondence and notes</w:t>
      </w:r>
    </w:p>
    <w:p>
      <w:pPr>
        <w:pStyle w:val="ListParagraph"/>
        <w:numPr>
          <w:ilvl w:val="0"/>
          <w:numId w:val="2"/>
        </w:numPr>
        <w:spacing w:after="60" w:before="0"/>
      </w:pPr>
      <w:r>
        <w:rPr>
          <w:rFonts w:ascii="Arial" w:cs="Arial" w:eastAsia="Arial" w:hAnsi="Arial"/>
          <w:color w:val="1A1A2E"/>
          <w:sz w:val="22"/>
          <w:szCs w:val="22"/>
        </w:rPr>
        <w:t xml:space="preserve">Client files and transaction records relevant to the matter</w:t>
      </w:r>
    </w:p>
    <w:p>
      <w:pPr>
        <w:pStyle w:val="ListParagraph"/>
        <w:numPr>
          <w:ilvl w:val="0"/>
          <w:numId w:val="2"/>
        </w:numPr>
        <w:spacing w:after="60" w:before="0"/>
      </w:pPr>
      <w:r>
        <w:rPr>
          <w:rFonts w:ascii="Arial" w:cs="Arial" w:eastAsia="Arial" w:hAnsi="Arial"/>
          <w:color w:val="1A1A2E"/>
          <w:sz w:val="22"/>
          <w:szCs w:val="22"/>
        </w:rPr>
        <w:t xml:space="preserve">AUSTRAC Online submission confirmations and acknowledgements</w:t>
      </w:r>
    </w:p>
    <w:p>
      <w:pPr>
        <w:pStyle w:val="ListParagraph"/>
        <w:numPr>
          <w:ilvl w:val="0"/>
          <w:numId w:val="2"/>
        </w:numPr>
        <w:spacing w:after="60" w:before="0"/>
      </w:pPr>
      <w:r>
        <w:rPr>
          <w:rFonts w:ascii="Arial" w:cs="Arial" w:eastAsia="Arial" w:hAnsi="Arial"/>
          <w:color w:val="1A1A2E"/>
          <w:sz w:val="22"/>
          <w:szCs w:val="22"/>
        </w:rPr>
        <w:t xml:space="preserve">AMLCO decision memoranda and supporting analysis</w:t>
      </w:r>
    </w:p>
    <w:p>
      <w:pPr>
        <w:pStyle w:val="ListParagraph"/>
        <w:numPr>
          <w:ilvl w:val="0"/>
          <w:numId w:val="2"/>
        </w:numPr>
        <w:spacing w:after="60" w:before="0"/>
      </w:pPr>
      <w:r>
        <w:rPr>
          <w:rFonts w:ascii="Arial" w:cs="Arial" w:eastAsia="Arial" w:hAnsi="Arial"/>
          <w:color w:val="1A1A2E"/>
          <w:sz w:val="22"/>
          <w:szCs w:val="22"/>
        </w:rPr>
        <w:t xml:space="preserve">Any legal advice obtained in connection with an SMR decision</w:t>
      </w:r>
    </w:p>
    <w:p>
      <w:pPr>
        <w:spacing w:after="0" w:before="0"/>
      </w:pPr>
      <w:r>
        <w:rPr>
          <w:rFonts w:ascii="Arial" w:cs="Arial" w:eastAsia="Arial" w:hAnsi="Arial"/>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il" w:color="auto" w:sz="0"/>
              <w:left w:val="single" w:color="00A896" w:sz="12"/>
              <w:bottom w:val="nil" w:color="auto" w:sz="0"/>
              <w:right w:val="nil" w:color="auto" w:sz="0"/>
            </w:tcBorders>
            <w:shd w:fill="E8F8F6" w:val="clear"/>
            <w:tcMar>
              <w:top w:type="dxa" w:w="120"/>
              <w:left w:type="dxa" w:w="200"/>
              <w:bottom w:type="dxa" w:w="120"/>
              <w:right w:type="dxa" w:w="140"/>
            </w:tcMar>
          </w:tcPr>
          <w:p>
            <w:pPr>
              <w:spacing w:after="0" w:before="0"/>
            </w:pPr>
            <w:r>
              <w:rPr>
                <w:rFonts w:ascii="Arial" w:cs="Arial" w:eastAsia="Arial" w:hAnsi="Arial"/>
                <w:b w:val="false"/>
                <w:bCs w:val="false"/>
                <w:color w:val="1A1A2E"/>
                <w:sz w:val="21"/>
                <w:szCs w:val="21"/>
              </w:rPr>
              <w:t xml:space="preserve">SimpleAML records the trail. The firm’s cabinet holds the evidence. Both are required. SimpleAML tells an auditor what happened and when. The cabinet tells them why.</w:t>
            </w:r>
          </w:p>
        </w:tc>
      </w:tr>
    </w:tbl>
    <w:p>
      <w:pPr>
        <w:spacing w:after="0" w:before="0"/>
      </w:pPr>
      <w:r>
        <w:rPr>
          <w:rFonts w:ascii="Arial" w:cs="Arial" w:eastAsia="Arial" w:hAnsi="Arial"/>
          <w:sz w:val="22"/>
          <w:szCs w:val="22"/>
        </w:rPr>
        <w:t xml:space="preserve"/>
      </w:r>
    </w:p>
    <w:p>
      <w:pPr>
        <w:pStyle w:val="Heading2"/>
        <w:spacing w:after="80" w:before="240"/>
      </w:pPr>
      <w:r>
        <w:rPr>
          <w:rFonts w:ascii="Arial" w:cs="Arial" w:eastAsia="Arial" w:hAnsi="Arial"/>
          <w:b/>
          <w:bCs/>
          <w:color w:val="0F1F3D"/>
          <w:sz w:val="24"/>
          <w:szCs w:val="24"/>
        </w:rPr>
        <w:t xml:space="preserve">6.3  Record retention</w:t>
      </w:r>
    </w:p>
    <w:p>
      <w:pPr>
        <w:spacing w:after="100" w:before="0" w:line="276"/>
      </w:pPr>
      <w:r>
        <w:rPr>
          <w:rFonts w:ascii="Arial" w:cs="Arial" w:eastAsia="Arial" w:hAnsi="Arial"/>
          <w:color w:val="1A1A2E"/>
          <w:sz w:val="22"/>
          <w:szCs w:val="22"/>
        </w:rPr>
        <w:t>All SMR and incident records must be retained for a minimum of 7 years from the date the record was made, as required under the AML/CTF Act.</w:t>
      </w:r>
    </w:p>
    <w:p>
      <w:pPr>
        <w:spacing w:after="100" w:before="0" w:line="276"/>
      </w:pPr>
      <w:r>
        <w:rPr>
          <w:rFonts w:ascii="Arial" w:cs="Arial" w:eastAsia="Arial" w:hAnsi="Arial"/>
          <w:color w:val="1A1A2E"/>
          <w:sz w:val="22"/>
          <w:szCs w:val="22"/>
        </w:rPr>
        <w:t>SimpleAML stores records locally in your browser on your device. It does not currently provide multi-user cloud sync. You should export and back up your records regularly. Supporting documents, correspondence and AUSTRAC acknowledgements should be retained in the firm’s own filing systems.</w:t>
      </w:r>
    </w:p>
    <w:p>
      <w:pPr>
        <w:spacing w:after="0" w:before="0"/>
      </w:pPr>
      <w:r>
        <w:rPr>
          <w:rFonts w:ascii="Arial" w:cs="Arial" w:eastAsia="Arial" w:hAnsi="Arial"/>
          <w:sz w:val="22"/>
          <w:szCs w:val="22"/>
        </w:rPr>
        <w:t xml:space="preserve"/>
      </w:r>
    </w:p>
    <w:p>
      <w:pPr>
        <w:pStyle w:val="Heading1"/>
        <w:pBdr>
          <w:bottom w:val="single" w:color="00A896" w:sz="4" w:space="4"/>
        </w:pBdr>
        <w:spacing w:after="120" w:before="320"/>
      </w:pPr>
      <w:r>
        <w:rPr>
          <w:rFonts w:ascii="Arial" w:cs="Arial" w:eastAsia="Arial" w:hAnsi="Arial"/>
          <w:b/>
          <w:bCs/>
          <w:color w:val="0F1F3D"/>
          <w:sz w:val="28"/>
          <w:szCs w:val="28"/>
        </w:rPr>
        <w:t xml:space="preserve">7.  Responsibilities</w:t>
      </w:r>
    </w:p>
    <w:p>
      <w:pPr>
        <w:spacing w:after="0" w:before="0"/>
      </w:pPr>
      <w:r>
        <w:rPr>
          <w:rFonts w:ascii="Arial" w:cs="Arial" w:eastAsia="Arial" w:hAnsi="Arial"/>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E2E8F0" w:sz="1"/>
              <w:left w:val="single" w:color="E2E8F0" w:sz="1"/>
              <w:bottom w:val="single" w:color="E2E8F0" w:sz="1"/>
              <w:right w:val="single" w:color="E2E8F0" w:sz="1"/>
            </w:tcBorders>
            <w:shd w:fill="0F1F3D" w:val="clear"/>
            <w:tcMar>
              <w:top w:type="dxa" w:w="100"/>
              <w:left w:type="dxa" w:w="140"/>
              <w:bottom w:type="dxa" w:w="100"/>
              <w:right w:type="dxa" w:w="140"/>
            </w:tcMar>
          </w:tcPr>
          <w:p>
            <w:r>
              <w:rPr>
                <w:rFonts w:ascii="Arial" w:cs="Arial" w:eastAsia="Arial" w:hAnsi="Arial"/>
                <w:b/>
                <w:bCs/>
                <w:color w:val="FFFFFF"/>
                <w:sz w:val="21"/>
                <w:szCs w:val="21"/>
              </w:rPr>
              <w:t xml:space="preserve">Role</w:t>
            </w:r>
          </w:p>
        </w:tc>
        <w:tc>
          <w:tcPr>
            <w:tcW w:type="dxa" w:w="6426"/>
            <w:tcBorders>
              <w:top w:val="single" w:color="E2E8F0" w:sz="1"/>
              <w:left w:val="single" w:color="E2E8F0" w:sz="1"/>
              <w:bottom w:val="single" w:color="E2E8F0" w:sz="1"/>
              <w:right w:val="single" w:color="E2E8F0" w:sz="1"/>
            </w:tcBorders>
            <w:shd w:fill="0F1F3D" w:val="clear"/>
            <w:tcMar>
              <w:top w:type="dxa" w:w="100"/>
              <w:left w:type="dxa" w:w="140"/>
              <w:bottom w:type="dxa" w:w="100"/>
              <w:right w:type="dxa" w:w="140"/>
            </w:tcMar>
          </w:tcPr>
          <w:p>
            <w:r>
              <w:rPr>
                <w:rFonts w:ascii="Arial" w:cs="Arial" w:eastAsia="Arial" w:hAnsi="Arial"/>
                <w:b/>
                <w:bCs/>
                <w:color w:val="FFFFFF"/>
                <w:sz w:val="21"/>
                <w:szCs w:val="21"/>
              </w:rPr>
              <w:t xml:space="preserve">Responsibility</w:t>
            </w:r>
          </w:p>
        </w:tc>
      </w:tr>
      <w:tr>
        <w:tc>
          <w:tcPr>
            <w:tcW w:type="dxa" w:w="2600"/>
            <w:tcBorders>
              <w:top w:val="single" w:color="E2E8F0" w:sz="1"/>
              <w:left w:val="single" w:color="E2E8F0" w:sz="1"/>
              <w:bottom w:val="single" w:color="E2E8F0" w:sz="1"/>
              <w:right w:val="single" w:color="E2E8F0" w:sz="1"/>
            </w:tcBorders>
            <w:shd w:fill="F4F6F8" w:val="clear"/>
            <w:tcMar>
              <w:top w:type="dxa" w:w="100"/>
              <w:left w:type="dxa" w:w="140"/>
              <w:bottom w:type="dxa" w:w="100"/>
              <w:right w:type="dxa" w:w="140"/>
            </w:tcMar>
          </w:tcPr>
          <w:p>
            <w:r>
              <w:rPr>
                <w:rFonts w:ascii="Arial" w:cs="Arial" w:eastAsia="Arial" w:hAnsi="Arial"/>
                <w:b/>
                <w:bCs/>
                <w:color w:val="0F1F3D"/>
                <w:sz w:val="21"/>
                <w:szCs w:val="21"/>
              </w:rPr>
              <w:t xml:space="preserve">All staff</w:t>
            </w:r>
          </w:p>
        </w:tc>
        <w:tc>
          <w:tcPr>
            <w:tcW w:type="dxa" w:w="6426"/>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r>
              <w:rPr>
                <w:rFonts w:ascii="Arial" w:cs="Arial" w:eastAsia="Arial" w:hAnsi="Arial"/>
                <w:color w:val="1A1A2E"/>
                <w:sz w:val="21"/>
                <w:szCs w:val="21"/>
              </w:rPr>
              <w:t xml:space="preserve">Identify suspicious matters and escalate to the AMLCO in writing on the same business day. Never inform the client or any unauthorised person.</w:t>
            </w:r>
          </w:p>
        </w:tc>
      </w:tr>
      <w:tr>
        <w:tc>
          <w:tcPr>
            <w:tcW w:type="dxa" w:w="2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r>
              <w:rPr>
                <w:rFonts w:ascii="Arial" w:cs="Arial" w:eastAsia="Arial" w:hAnsi="Arial"/>
                <w:b/>
                <w:bCs/>
                <w:color w:val="0F1F3D"/>
                <w:sz w:val="21"/>
                <w:szCs w:val="21"/>
              </w:rPr>
              <w:t xml:space="preserve">AMLCO</w:t>
            </w:r>
          </w:p>
        </w:tc>
        <w:tc>
          <w:tcPr>
            <w:tcW w:type="dxa" w:w="6426"/>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r>
              <w:rPr>
                <w:rFonts w:ascii="Arial" w:cs="Arial" w:eastAsia="Arial" w:hAnsi="Arial"/>
                <w:color w:val="1A1A2E"/>
                <w:sz w:val="21"/>
                <w:szCs w:val="21"/>
              </w:rPr>
              <w:t xml:space="preserve">Review all escalated matters, determine whether an SMR must be filed, record all outcomes in SimpleAML, and authorise the Reporting Officer to file where required.</w:t>
            </w:r>
          </w:p>
        </w:tc>
      </w:tr>
      <w:tr>
        <w:tc>
          <w:tcPr>
            <w:tcW w:type="dxa" w:w="2600"/>
            <w:tcBorders>
              <w:top w:val="single" w:color="E2E8F0" w:sz="1"/>
              <w:left w:val="single" w:color="E2E8F0" w:sz="1"/>
              <w:bottom w:val="single" w:color="E2E8F0" w:sz="1"/>
              <w:right w:val="single" w:color="E2E8F0" w:sz="1"/>
            </w:tcBorders>
            <w:shd w:fill="F4F6F8" w:val="clear"/>
            <w:tcMar>
              <w:top w:type="dxa" w:w="100"/>
              <w:left w:type="dxa" w:w="140"/>
              <w:bottom w:type="dxa" w:w="100"/>
              <w:right w:type="dxa" w:w="140"/>
            </w:tcMar>
          </w:tcPr>
          <w:p>
            <w:r>
              <w:rPr>
                <w:rFonts w:ascii="Arial" w:cs="Arial" w:eastAsia="Arial" w:hAnsi="Arial"/>
                <w:b/>
                <w:bCs/>
                <w:color w:val="0F1F3D"/>
                <w:sz w:val="21"/>
                <w:szCs w:val="21"/>
              </w:rPr>
              <w:t xml:space="preserve">Reporting Officer</w:t>
            </w:r>
          </w:p>
        </w:tc>
        <w:tc>
          <w:tcPr>
            <w:tcW w:type="dxa" w:w="6426"/>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r>
              <w:rPr>
                <w:rFonts w:ascii="Arial" w:cs="Arial" w:eastAsia="Arial" w:hAnsi="Arial"/>
                <w:color w:val="1A1A2E"/>
                <w:sz w:val="21"/>
                <w:szCs w:val="21"/>
              </w:rPr>
              <w:t xml:space="preserve">File SMRs and TTRs via the AUSTRAC Online portal as directed by the AMLCO. Record the AUSTRAC reference number and filing date in SimpleAML.</w:t>
            </w:r>
          </w:p>
        </w:tc>
      </w:tr>
      <w:tr>
        <w:tc>
          <w:tcPr>
            <w:tcW w:type="dxa" w:w="2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r>
              <w:rPr>
                <w:rFonts w:ascii="Arial" w:cs="Arial" w:eastAsia="Arial" w:hAnsi="Arial"/>
                <w:b/>
                <w:bCs/>
                <w:color w:val="0F1F3D"/>
                <w:sz w:val="21"/>
                <w:szCs w:val="21"/>
              </w:rPr>
              <w:t xml:space="preserve">Senior Manager</w:t>
            </w:r>
          </w:p>
        </w:tc>
        <w:tc>
          <w:tcPr>
            <w:tcW w:type="dxa" w:w="6426"/>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r>
              <w:rPr>
                <w:rFonts w:ascii="Arial" w:cs="Arial" w:eastAsia="Arial" w:hAnsi="Arial"/>
                <w:color w:val="1A1A2E"/>
                <w:sz w:val="21"/>
                <w:szCs w:val="21"/>
              </w:rPr>
              <w:t xml:space="preserve">Approve this policy and ensure the firm has adequate resources and procedures to meet its SMR obligations. Review SMR activity at least annually.</w:t>
            </w:r>
          </w:p>
        </w:tc>
      </w:tr>
    </w:tbl>
    <w:p>
      <w:pPr>
        <w:spacing w:after="0" w:before="0"/>
      </w:pPr>
      <w:r>
        <w:rPr>
          <w:rFonts w:ascii="Arial" w:cs="Arial" w:eastAsia="Arial" w:hAnsi="Arial"/>
          <w:sz w:val="22"/>
          <w:szCs w:val="22"/>
        </w:rPr>
        <w:t xml:space="preserve"/>
      </w:r>
    </w:p>
    <w:p>
      <w:pPr>
        <w:pStyle w:val="Heading1"/>
        <w:pBdr>
          <w:bottom w:val="single" w:color="00A896" w:sz="4" w:space="4"/>
        </w:pBdr>
        <w:spacing w:after="120" w:before="320"/>
      </w:pPr>
      <w:r>
        <w:rPr>
          <w:rFonts w:ascii="Arial" w:cs="Arial" w:eastAsia="Arial" w:hAnsi="Arial"/>
          <w:b/>
          <w:bCs/>
          <w:color w:val="0F1F3D"/>
          <w:sz w:val="28"/>
          <w:szCs w:val="28"/>
        </w:rPr>
        <w:t xml:space="preserve">8.  Policy Review</w:t>
      </w:r>
    </w:p>
    <w:p>
      <w:pPr>
        <w:spacing w:after="100" w:before="0" w:line="276"/>
      </w:pPr>
      <w:r>
        <w:rPr>
          <w:rFonts w:ascii="Arial" w:cs="Arial" w:eastAsia="Arial" w:hAnsi="Arial"/>
          <w:color w:val="1A1A2E"/>
          <w:sz w:val="22"/>
          <w:szCs w:val="22"/>
        </w:rPr>
        <w:t xml:space="preserve">This policy must be reviewed at least annually and whenever there is a material change to the firm’s designated services, client base, staffing, or AUSTRAC guidance. Reviews must be approved by a senior manager and recorded in SimpleAML’s AML/CTF Program screen.</w:t>
      </w:r>
    </w:p>
    <w:p>
      <w:pPr>
        <w:spacing w:after="0" w:before="0"/>
      </w:pPr>
      <w:r>
        <w:rPr>
          <w:rFonts w:ascii="Arial" w:cs="Arial" w:eastAsia="Arial" w:hAnsi="Arial"/>
          <w:sz w:val="22"/>
          <w:szCs w:val="22"/>
        </w:rPr>
        <w:t xml:space="preserve"/>
      </w:r>
    </w:p>
    <w:p>
      <w:pPr>
        <w:pStyle w:val="Heading1"/>
        <w:pBdr>
          <w:bottom w:val="single" w:color="00A896" w:sz="4" w:space="4"/>
        </w:pBdr>
        <w:spacing w:after="120" w:before="320"/>
      </w:pPr>
      <w:r>
        <w:rPr>
          <w:rFonts w:ascii="Arial" w:cs="Arial" w:eastAsia="Arial" w:hAnsi="Arial"/>
          <w:b/>
          <w:bCs/>
          <w:color w:val="0F1F3D"/>
          <w:sz w:val="28"/>
          <w:szCs w:val="28"/>
        </w:rPr>
        <w:t xml:space="preserve">9.  Approval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E2E8F0" w:sz="1"/>
              <w:left w:val="single" w:color="E2E8F0" w:sz="1"/>
              <w:bottom w:val="single" w:color="E2E8F0" w:sz="1"/>
              <w:right w:val="single" w:color="E2E8F0" w:sz="1"/>
            </w:tcBorders>
            <w:shd w:fill="F4F6F8" w:val="clear"/>
            <w:tcMar>
              <w:top w:type="dxa" w:w="100"/>
              <w:left w:type="dxa" w:w="140"/>
              <w:bottom w:type="dxa" w:w="100"/>
              <w:right w:type="dxa" w:w="140"/>
            </w:tcMar>
          </w:tcPr>
          <w:p>
            <w:r>
              <w:rPr>
                <w:rFonts w:ascii="Arial" w:cs="Arial" w:eastAsia="Arial" w:hAnsi="Arial"/>
                <w:b/>
                <w:bCs/>
                <w:color w:val="475569"/>
                <w:sz w:val="21"/>
                <w:szCs w:val="21"/>
              </w:rPr>
              <w:t xml:space="preserve">Approved By (AMLCO)</w:t>
            </w:r>
          </w:p>
        </w:tc>
        <w:tc>
          <w:tcPr>
            <w:tcW w:type="dxa" w:w="6226"/>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r>
              <w:rPr>
                <w:rFonts w:ascii="Arial" w:cs="Arial" w:eastAsia="Arial" w:hAnsi="Arial"/>
                <w:color w:val="475569"/>
                <w:sz w:val="21"/>
                <w:szCs w:val="21"/>
              </w:rPr>
              <w:t xml:space="preserve">[Full name]</w:t>
            </w:r>
          </w:p>
        </w:tc>
      </w:tr>
      <w:tr>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r>
              <w:rPr>
                <w:rFonts w:ascii="Arial" w:cs="Arial" w:eastAsia="Arial" w:hAnsi="Arial"/>
                <w:b/>
                <w:bCs/>
                <w:color w:val="475569"/>
                <w:sz w:val="21"/>
                <w:szCs w:val="21"/>
              </w:rPr>
              <w:t xml:space="preserve">Approved By (Senior Manager)</w:t>
            </w:r>
          </w:p>
        </w:tc>
        <w:tc>
          <w:tcPr>
            <w:tcW w:type="dxa" w:w="6226"/>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r>
              <w:rPr>
                <w:rFonts w:ascii="Arial" w:cs="Arial" w:eastAsia="Arial" w:hAnsi="Arial"/>
                <w:color w:val="475569"/>
                <w:sz w:val="21"/>
                <w:szCs w:val="21"/>
              </w:rPr>
              <w:t xml:space="preserve">[Full name]</w:t>
            </w:r>
          </w:p>
        </w:tc>
      </w:tr>
      <w:tr>
        <w:tc>
          <w:tcPr>
            <w:tcW w:type="dxa" w:w="2800"/>
            <w:tcBorders>
              <w:top w:val="single" w:color="E2E8F0" w:sz="1"/>
              <w:left w:val="single" w:color="E2E8F0" w:sz="1"/>
              <w:bottom w:val="single" w:color="E2E8F0" w:sz="1"/>
              <w:right w:val="single" w:color="E2E8F0" w:sz="1"/>
            </w:tcBorders>
            <w:shd w:fill="F4F6F8" w:val="clear"/>
            <w:tcMar>
              <w:top w:type="dxa" w:w="100"/>
              <w:left w:type="dxa" w:w="140"/>
              <w:bottom w:type="dxa" w:w="100"/>
              <w:right w:type="dxa" w:w="140"/>
            </w:tcMar>
          </w:tcPr>
          <w:p>
            <w:r>
              <w:rPr>
                <w:rFonts w:ascii="Arial" w:cs="Arial" w:eastAsia="Arial" w:hAnsi="Arial"/>
                <w:b/>
                <w:bCs/>
                <w:color w:val="475569"/>
                <w:sz w:val="21"/>
                <w:szCs w:val="21"/>
              </w:rPr>
              <w:t xml:space="preserve">Title / Position</w:t>
            </w:r>
          </w:p>
        </w:tc>
        <w:tc>
          <w:tcPr>
            <w:tcW w:type="dxa" w:w="6226"/>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r>
              <w:rPr>
                <w:rFonts w:ascii="Arial" w:cs="Arial" w:eastAsia="Arial" w:hAnsi="Arial"/>
                <w:color w:val="475569"/>
                <w:sz w:val="21"/>
                <w:szCs w:val="21"/>
              </w:rPr>
              <w:t xml:space="preserve">[e.g. Principal / Managing Partner]</w:t>
            </w:r>
          </w:p>
        </w:tc>
      </w:tr>
      <w:tr>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r>
              <w:rPr>
                <w:rFonts w:ascii="Arial" w:cs="Arial" w:eastAsia="Arial" w:hAnsi="Arial"/>
                <w:b/>
                <w:bCs/>
                <w:color w:val="475569"/>
                <w:sz w:val="21"/>
                <w:szCs w:val="21"/>
              </w:rPr>
              <w:t xml:space="preserve">Date of Approval</w:t>
            </w:r>
          </w:p>
        </w:tc>
        <w:tc>
          <w:tcPr>
            <w:tcW w:type="dxa" w:w="6226"/>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r>
              <w:rPr>
                <w:rFonts w:ascii="Arial" w:cs="Arial" w:eastAsia="Arial" w:hAnsi="Arial"/>
                <w:color w:val="475569"/>
                <w:sz w:val="21"/>
                <w:szCs w:val="21"/>
              </w:rPr>
              <w:t xml:space="preserve">[DD/MM/YYYY]</w:t>
            </w:r>
          </w:p>
        </w:tc>
      </w:tr>
      <w:tr>
        <w:tc>
          <w:tcPr>
            <w:tcW w:type="dxa" w:w="2800"/>
            <w:tcBorders>
              <w:top w:val="single" w:color="E2E8F0" w:sz="1"/>
              <w:left w:val="single" w:color="E2E8F0" w:sz="1"/>
              <w:bottom w:val="single" w:color="E2E8F0" w:sz="1"/>
              <w:right w:val="single" w:color="E2E8F0" w:sz="1"/>
            </w:tcBorders>
            <w:shd w:fill="F4F6F8" w:val="clear"/>
            <w:tcMar>
              <w:top w:type="dxa" w:w="100"/>
              <w:left w:type="dxa" w:w="140"/>
              <w:bottom w:type="dxa" w:w="100"/>
              <w:right w:type="dxa" w:w="140"/>
            </w:tcMar>
          </w:tcPr>
          <w:p>
            <w:r>
              <w:rPr>
                <w:rFonts w:ascii="Arial" w:cs="Arial" w:eastAsia="Arial" w:hAnsi="Arial"/>
                <w:b/>
                <w:bCs/>
                <w:color w:val="475569"/>
                <w:sz w:val="21"/>
                <w:szCs w:val="21"/>
              </w:rPr>
              <w:t xml:space="preserve">Next Review Date</w:t>
            </w:r>
          </w:p>
        </w:tc>
        <w:tc>
          <w:tcPr>
            <w:tcW w:type="dxa" w:w="6226"/>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r>
              <w:rPr>
                <w:rFonts w:ascii="Arial" w:cs="Arial" w:eastAsia="Arial" w:hAnsi="Arial"/>
                <w:color w:val="475569"/>
                <w:sz w:val="21"/>
                <w:szCs w:val="21"/>
              </w:rPr>
              <w:t xml:space="preserve">[DD/MM/YYYY]</w:t>
            </w:r>
          </w:p>
        </w:tc>
      </w:tr>
    </w:tbl>
    <w:p>
      <w:pPr>
        <w:spacing w:after="0" w:before="0"/>
      </w:pPr>
      <w:r>
        <w:rPr>
          <w:rFonts w:ascii="Arial" w:cs="Arial" w:eastAsia="Arial" w:hAnsi="Arial"/>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il" w:color="auto" w:sz="0"/>
              <w:left w:val="single" w:color="475569" w:sz="12"/>
              <w:bottom w:val="nil" w:color="auto" w:sz="0"/>
              <w:right w:val="nil" w:color="auto" w:sz="0"/>
            </w:tcBorders>
            <w:shd w:fill="F4F6F8" w:val="clear"/>
            <w:tcMar>
              <w:top w:type="dxa" w:w="120"/>
              <w:left w:type="dxa" w:w="200"/>
              <w:bottom w:type="dxa" w:w="120"/>
              <w:right w:type="dxa" w:w="140"/>
            </w:tcMar>
          </w:tcPr>
          <w:p>
            <w:r/>
            <w:r>
              <w:rPr>
                <w:b/>
              </w:rPr>
              <w:t>Important Notice</w:t>
            </w:r>
          </w:p>
          <w:p>
            <w:r>
              <w:t>This template has been prepared by SimpleAML (Click Seed Pty Ltd ABN 87 656 256 567) as a practical starting point for Australian accounting practices preparing for AML/CTF obligations under Tranche 2 of the AML/CTF Act.</w:t>
            </w:r>
          </w:p>
          <w:p>
            <w:r>
              <w:t>This template is most suitable for sole practitioners and smaller firms where one person mainly manages AML/CTF compliance.</w:t>
            </w:r>
          </w:p>
          <w:p>
            <w:r>
              <w:t>This template does not constitute legal advice. Your completed documents must reflect the specific circumstances of your practice. Seek independent legal advice where required.</w:t>
            </w:r>
          </w:p>
          <w:p>
            <w:r>
              <w:t>For more information and compliance tools: simpleaml.com.au</w:t>
            </w:r>
          </w:p>
        </w:tc>
      </w:tr>
    </w:tbl>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4" w:space="4"/>
      </w:pBdr>
      <w:tabs>
        <w:tab w:val="right" w:pos="9026"/>
      </w:tabs>
      <w:spacing w:before="120"/>
    </w:pPr>
    <w:r>
      <w:rPr>
        <w:rFonts w:ascii="Arial" w:cs="Arial" w:eastAsia="Arial" w:hAnsi="Arial"/>
        <w:color w:val="475569"/>
        <w:sz w:val="16"/>
        <w:szCs w:val="16"/>
      </w:rPr>
      <w:t xml:space="preserve">[Firm Name] · AML/CTF Compliance Register</w:t>
    </w:r>
    <w:r>
      <w:rPr>
        <w:rFonts w:ascii="Arial" w:cs="Arial" w:eastAsia="Arial" w:hAnsi="Arial"/>
        <w:sz w:val="16"/>
        <w:szCs w:val="16"/>
      </w:rPr>
      <w:t xml:space="preserve">	</w:t>
    </w:r>
    <w:r>
      <w:rPr>
        <w:rFonts w:ascii="Arial" w:cs="Arial" w:eastAsia="Arial" w:hAnsi="Arial"/>
        <w:color w:val="475569"/>
        <w:sz w:val="16"/>
        <w:szCs w:val="16"/>
      </w:rPr>
      <w:t xml:space="preserve">Page </w:t>
    </w:r>
    <w:fldSimple w:instr="PAGE">
      <w:r>
        <w:rPr>
          <w:rFonts w:ascii="Arial" w:cs="Arial" w:eastAsia="Arial" w:hAnsi="Arial"/>
          <w:color w:val="475569"/>
          <w:sz w:val="16"/>
          <w:szCs w:val="16"/>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2E8F0" w:sz="4" w:space="4"/>
      </w:pBdr>
      <w:tabs>
        <w:tab w:val="right" w:pos="9026"/>
      </w:tabs>
      <w:spacing w:after="120"/>
    </w:pPr>
    <w:r>
      <w:rPr>
        <w:rFonts w:ascii="Arial" w:cs="Arial" w:eastAsia="Arial" w:hAnsi="Arial"/>
        <w:b/>
        <w:bCs/>
        <w:color w:val="0F1F3D"/>
        <w:sz w:val="18"/>
        <w:szCs w:val="18"/>
      </w:rPr>
      <w:t xml:space="preserve">SMR Policy</w:t>
    </w:r>
    <w:r>
      <w:rPr>
        <w:rFonts w:ascii="Arial" w:cs="Arial" w:eastAsia="Arial" w:hAnsi="Arial"/>
        <w:sz w:val="18"/>
        <w:szCs w:val="18"/>
      </w:rPr>
      <w:t xml:space="preserve">	</w:t>
    </w:r>
    <w:r>
      <w:rPr>
        <w:rFonts w:ascii="Arial" w:cs="Arial" w:eastAsia="Arial" w:hAnsi="Arial"/>
        <w:color w:val="475569"/>
        <w:sz w:val="16"/>
        <w:szCs w:val="16"/>
      </w:rPr>
      <w:t xml:space="preserve">Generated using SimpleAML · simpleaml.com.au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20"/>
      <w:outlineLvl w:val="0"/>
    </w:pPr>
    <w:rPr>
      <w:rFonts w:ascii="Arial" w:cs="Arial" w:eastAsia="Arial" w:hAnsi="Arial"/>
      <w:b/>
      <w:bCs/>
      <w:color w:val="0F1F3D"/>
      <w:sz w:val="28"/>
      <w:szCs w:val="28"/>
    </w:rPr>
  </w:style>
  <w:style w:type="paragraph" w:styleId="Heading2">
    <w:name w:val="Heading 2"/>
    <w:basedOn w:val="Normal"/>
    <w:next w:val="Normal"/>
    <w:qFormat/>
    <w:pPr>
      <w:spacing w:after="80" w:before="240"/>
      <w:outlineLvl w:val="1"/>
    </w:pPr>
    <w:rPr>
      <w:rFonts w:ascii="Arial" w:cs="Arial" w:eastAsia="Arial" w:hAnsi="Arial"/>
      <w:b/>
      <w:bCs/>
      <w:color w:val="0F1F3D"/>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2026-04-01T12:26:49.739Z</dcterms:created>
  <dcterms:modified xsi:type="dcterms:W3CDTF">2026-04-01T12:26:49.740Z</dcterms:modified>
</cp:coreProperties>
</file>

<file path=docProps/custom.xml><?xml version="1.0" encoding="utf-8"?>
<Properties xmlns="http://schemas.openxmlformats.org/officeDocument/2006/custom-properties" xmlns:vt="http://schemas.openxmlformats.org/officeDocument/2006/docPropsVTypes"/>
</file>