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C0392B" w:val="clear"/>
            <w:tcMar>
              <w:top w:type="dxa" w:w="400"/>
              <w:left w:type="dxa" w:w="320"/>
              <w:bottom w:type="dxa" w:w="400"/>
              <w:right w:type="dxa" w:w="320"/>
            </w:tcMar>
          </w:tcPr>
          <w:p>
            <w:r>
              <w:rPr>
                <w:rFonts w:ascii="Arial" w:cs="Arial" w:eastAsia="Arial" w:hAnsi="Arial"/>
                <w:b/>
                <w:bCs/>
                <w:color w:val="FFFFFF"/>
                <w:sz w:val="36"/>
                <w:szCs w:val="36"/>
              </w:rPr>
              <w:t xml:space="preserve">AML/CTF PROGRAM</w:t>
            </w:r>
          </w:p>
          <w:p>
            <w:pPr>
              <w:spacing w:before="80"/>
            </w:pPr>
            <w:r>
              <w:rPr>
                <w:rFonts w:ascii="Arial" w:cs="Arial" w:eastAsia="Arial" w:hAnsi="Arial"/>
                <w:b/>
                <w:bCs/>
                <w:color w:val="FFFFFF"/>
                <w:sz w:val="28"/>
                <w:szCs w:val="28"/>
              </w:rPr>
              <w:t xml:space="preserve">Part B — Customer Due Diligence Procedures</w:t>
            </w:r>
          </w:p>
          <w:p>
            <w:pPr>
              <w:spacing w:before="120"/>
            </w:pPr>
            <w:r>
              <w:rPr>
                <w:rFonts w:ascii="Arial" w:cs="Arial" w:eastAsia="Arial" w:hAnsi="Arial"/>
                <w:color w:val="FFD0CD"/>
                <w:sz w:val="22"/>
                <w:szCs w:val="22"/>
              </w:rPr>
              <w:t xml:space="preserve">Seller &amp; Buyer Identification, Verification and Risk Assessment</w:t>
            </w:r>
          </w:p>
          <w:p>
            <w:pPr>
              <w:spacing w:before="80"/>
            </w:pPr>
            <w:r>
              <w:rPr>
                <w:rFonts w:ascii="Arial" w:cs="Arial" w:eastAsia="Arial" w:hAnsi="Arial"/>
                <w:i/>
                <w:iCs/>
                <w:color w:val="FFD0CD"/>
                <w:sz w:val="18"/>
                <w:szCs w:val="18"/>
              </w:rPr>
              <w:t xml:space="preserve">Prepared under the Anti-Money Laundering and Counter-Terrorism Financing Act 2006 (Cth) as amended by the AML/CTF Amendment Act 2024</w:t>
            </w:r>
          </w:p>
          <w:p>
            <w:pPr>
              <w:spacing w:before="160"/>
            </w:pPr>
            <w:r>
              <w:rPr>
                <w:rFonts w:ascii="Arial" w:cs="Arial" w:eastAsia="Arial" w:hAnsi="Arial"/>
                <w:b/>
                <w:bCs/>
                <w:color w:val="FFD0CD"/>
                <w:sz w:val="20"/>
                <w:szCs w:val="20"/>
              </w:rPr>
              <w:t xml:space="preserve">Real Estate Agency</w:t>
            </w:r>
          </w:p>
        </w:tc>
      </w:tr>
    </w:tbl>
    <w:p>
      <w:pPr>
        <w:spacing w:before="20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84040" w:sz="3"/>
              <w:left w:val="single" w:color="E84040" w:sz="3"/>
              <w:bottom w:val="single" w:color="E84040" w:sz="3"/>
              <w:right w:val="single" w:color="E84040" w:sz="3"/>
            </w:tcBorders>
            <w:shd w:fill="FDECEA" w:val="clear"/>
            <w:tcMar>
              <w:top w:type="dxa" w:w="120"/>
              <w:left w:type="dxa" w:w="180"/>
              <w:bottom w:type="dxa" w:w="120"/>
              <w:right w:type="dxa" w:w="180"/>
            </w:tcMar>
          </w:tcPr>
          <w:p>
            <w:r>
              <w:rPr>
                <w:rFonts w:ascii="Arial" w:cs="Arial" w:eastAsia="Arial" w:hAnsi="Arial"/>
                <w:b/>
                <w:bCs/>
                <w:color w:val="C0392B"/>
                <w:sz w:val="22"/>
                <w:szCs w:val="22"/>
              </w:rPr>
              <w:t xml:space="preserve">Agency Details — Complete Before Use</w:t>
            </w:r>
          </w:p>
          <w:p>
            <w:pPr>
              <w:spacing w:before="80"/>
            </w:pPr>
            <w:r>
              <w:rPr>
                <w:rFonts w:ascii="Arial" w:cs="Arial" w:eastAsia="Arial" w:hAnsi="Arial"/>
                <w:sz w:val="20"/>
                <w:szCs w:val="20"/>
              </w:rPr>
              <w:t xml:space="preserve">Replace all [bracketed fields] throughout this document with your agency's specific information. This document is Part B of your AML/CTF Program and should be read together with Part A.</w:t>
            </w:r>
          </w:p>
        </w:tc>
      </w:tr>
    </w:tbl>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sz w:val="20"/>
                <w:szCs w:val="20"/>
              </w:rPr>
              <w:t xml:space="preserve">Agency / Trading Name</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[Full legal name of your agency]</w:t>
            </w:r>
          </w:p>
        </w:tc>
      </w:tr>
      <w:tr>
        <w:tc>
          <w:tcPr>
            <w:tcW w:type="dxa" w:w="3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sz w:val="20"/>
                <w:szCs w:val="20"/>
              </w:rPr>
              <w:t xml:space="preserve">ABN</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[Your ABN]</w:t>
            </w:r>
          </w:p>
        </w:tc>
      </w:tr>
      <w:tr>
        <w:tc>
          <w:tcPr>
            <w:tcW w:type="dxa" w:w="32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sz w:val="20"/>
                <w:szCs w:val="20"/>
              </w:rPr>
              <w:t xml:space="preserve">AMLCO</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[Full name — responsible for this procedure]</w:t>
            </w:r>
          </w:p>
        </w:tc>
      </w:tr>
      <w:tr>
        <w:tc>
          <w:tcPr>
            <w:tcW w:type="dxa" w:w="3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sz w:val="20"/>
                <w:szCs w:val="20"/>
              </w:rPr>
              <w:t xml:space="preserve">Date of Adoption</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[DD/MM/YYYY]</w:t>
            </w:r>
          </w:p>
        </w:tc>
      </w:tr>
      <w:tr>
        <w:tc>
          <w:tcPr>
            <w:tcW w:type="dxa" w:w="32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sz w:val="20"/>
                <w:szCs w:val="20"/>
              </w:rPr>
              <w:t xml:space="preserve">Version</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[e.g. Version 1.0]</w:t>
            </w:r>
          </w:p>
        </w:tc>
      </w:tr>
    </w:tbl>
    <w:p>
      <w:pPr>
        <w:spacing w:before="240" w:after="0"/>
      </w:pPr>
      <w:r>
        <w:t xml:space="preserve"/>
      </w:r>
    </w:p>
    <w:p>
      <w:pPr>
        <w:pStyle w:val="Heading1"/>
        <w:spacing w:before="280" w:after="120"/>
      </w:pPr>
      <w:r>
        <w:rPr>
          <w:rFonts w:ascii="Arial" w:cs="Arial" w:eastAsia="Arial" w:hAnsi="Arial"/>
          <w:b/>
          <w:bCs/>
        </w:rPr>
        <w:t xml:space="preserve">1. Overview &amp; Purpose</w:t>
      </w:r>
    </w:p>
    <w:p>
      <w:pPr>
        <w:spacing w:before="60" w:after="80"/>
      </w:pPr>
      <w:r>
        <w:rPr>
          <w:rFonts w:ascii="Arial" w:cs="Arial" w:eastAsia="Arial" w:hAnsi="Arial"/>
          <w:sz w:val="22"/>
          <w:szCs w:val="22"/>
        </w:rPr>
        <w:t xml:space="preserve">This document constitutes Part B of the AML/CTF Program of [Agency Name]. It sets out the Customer Due Diligence (CDD) procedures that must be followed for all property transactions to which our AML/CTF obligations apply.</w:t>
      </w:r>
    </w:p>
    <w:p>
      <w:pPr>
        <w:spacing w:before="60" w:after="80"/>
      </w:pPr>
      <w:r>
        <w:rPr>
          <w:rFonts w:ascii="Arial" w:cs="Arial" w:eastAsia="Arial" w:hAnsi="Arial"/>
          <w:sz w:val="22"/>
          <w:szCs w:val="22"/>
        </w:rPr>
        <w:t xml:space="preserve">CDD must be performed on both the seller (at listing) and the buyer (before exchange, or within the timeframes set out in section 3). These are mandatory obligations — they cannot be skipped even if the customer is well-known to the agency.</w:t>
      </w:r>
    </w:p>
    <w:p>
      <w:pPr>
        <w:pStyle w:val="Heading2"/>
        <w:spacing w:before="280" w:after="120"/>
      </w:pPr>
      <w:r>
        <w:rPr>
          <w:rFonts w:ascii="Arial" w:cs="Arial" w:eastAsia="Arial" w:hAnsi="Arial"/>
          <w:b/>
          <w:bCs/>
        </w:rPr>
        <w:t xml:space="preserve">1.1 Who CDD Applies To</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DDDDDD" w:sz="1"/>
              <w:left w:val="single" w:color="DDDDDD" w:sz="1"/>
              <w:bottom w:val="single" w:color="DDDDDD" w:sz="1"/>
              <w:right w:val="single" w:color="DDDDDD" w:sz="1"/>
            </w:tcBorders>
            <w:shd w:fill="C0392B" w:val="clear"/>
            <w:tcMar>
              <w:top w:type="dxa" w:w="80"/>
              <w:left w:type="dxa" w:w="120"/>
              <w:bottom w:type="dxa" w:w="80"/>
              <w:right w:type="dxa" w:w="120"/>
            </w:tcMar>
          </w:tcPr>
          <w:p>
            <w:r>
              <w:rPr>
                <w:rFonts w:ascii="Arial" w:cs="Arial" w:eastAsia="Arial" w:hAnsi="Arial"/>
                <w:b/>
                <w:bCs/>
                <w:color w:val="FFFFFF"/>
                <w:sz w:val="20"/>
                <w:szCs w:val="20"/>
              </w:rPr>
              <w:t xml:space="preserve">Party</w:t>
            </w:r>
          </w:p>
        </w:tc>
        <w:tc>
          <w:tcPr>
            <w:tcW w:type="dxa" w:w="6160"/>
            <w:tcBorders>
              <w:top w:val="single" w:color="DDDDDD" w:sz="1"/>
              <w:left w:val="single" w:color="DDDDDD" w:sz="1"/>
              <w:bottom w:val="single" w:color="DDDDDD" w:sz="1"/>
              <w:right w:val="single" w:color="DDDDDD" w:sz="1"/>
            </w:tcBorders>
            <w:shd w:fill="C0392B" w:val="clear"/>
            <w:tcMar>
              <w:top w:type="dxa" w:w="80"/>
              <w:left w:type="dxa" w:w="120"/>
              <w:bottom w:type="dxa" w:w="80"/>
              <w:right w:type="dxa" w:w="120"/>
            </w:tcMar>
          </w:tcPr>
          <w:p>
            <w:r>
              <w:rPr>
                <w:rFonts w:ascii="Arial" w:cs="Arial" w:eastAsia="Arial" w:hAnsi="Arial"/>
                <w:b/>
                <w:bCs/>
                <w:color w:val="FFFFFF"/>
                <w:sz w:val="20"/>
                <w:szCs w:val="20"/>
              </w:rPr>
              <w:t xml:space="preserve">CDD Requirement</w:t>
            </w:r>
          </w:p>
        </w:tc>
      </w:tr>
      <w:tr>
        <w:tc>
          <w:tcPr>
            <w:tcW w:type="dxa" w:w="32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sz w:val="20"/>
                <w:szCs w:val="20"/>
              </w:rPr>
              <w:t xml:space="preserve">Seller</w:t>
            </w:r>
          </w:p>
        </w:tc>
        <w:tc>
          <w:tcPr>
            <w:tcW w:type="dxa" w:w="616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sz w:val="20"/>
                <w:szCs w:val="20"/>
              </w:rPr>
              <w:t xml:space="preserve">Always required — due at the time of listing (before signing agency agreement)</w:t>
            </w:r>
          </w:p>
        </w:tc>
      </w:tr>
      <w:tr>
        <w:tc>
          <w:tcPr>
            <w:tcW w:type="dxa" w:w="3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sz w:val="20"/>
                <w:szCs w:val="20"/>
              </w:rPr>
              <w:t xml:space="preserve">Buyer</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sz w:val="20"/>
                <w:szCs w:val="20"/>
              </w:rPr>
              <w:t xml:space="preserve">Always required — due before exchange (private sale) or within 28 days of exchange / before settlement (auction)</w:t>
            </w:r>
          </w:p>
        </w:tc>
      </w:tr>
    </w:tbl>
    <w:p>
      <w:pPr>
        <w:spacing w:before="120" w:after="0"/>
      </w:pPr>
      <w:r>
        <w:t xml:space="preserve"/>
      </w:r>
    </w:p>
    <w:p>
      <w:pPr>
        <w:spacing w:before="60" w:after="80"/>
      </w:pPr>
      <w:r>
        <w:rPr>
          <w:rFonts w:ascii="Arial" w:cs="Arial" w:eastAsia="Arial" w:hAnsi="Arial"/>
          <w:i/>
          <w:iCs/>
          <w:color w:val="666666"/>
          <w:sz w:val="20"/>
          <w:szCs w:val="20"/>
        </w:rPr>
        <w:t xml:space="preserve">Note: Even if your agency only acts for the seller, CDD on the buyer is still required.</w:t>
      </w:r>
    </w:p>
    <w:p>
      <w:pPr>
        <w:pStyle w:val="Heading2"/>
        <w:spacing w:before="280" w:after="120"/>
      </w:pPr>
      <w:r>
        <w:rPr>
          <w:rFonts w:ascii="Arial" w:cs="Arial" w:eastAsia="Arial" w:hAnsi="Arial"/>
          <w:b/>
          <w:bCs/>
        </w:rPr>
        <w:t xml:space="preserve">1.2 What CDD Involves</w:t>
      </w:r>
    </w:p>
    <w:p>
      <w:pPr>
        <w:spacing w:before="60" w:after="80"/>
      </w:pPr>
      <w:r>
        <w:rPr>
          <w:rFonts w:ascii="Arial" w:cs="Arial" w:eastAsia="Arial" w:hAnsi="Arial"/>
          <w:sz w:val="22"/>
          <w:szCs w:val="22"/>
        </w:rPr>
        <w:t xml:space="preserve">For each customer (seller and buyer), CDD involves:</w:t>
      </w:r>
    </w:p>
    <w:p>
      <w:pPr>
        <w:pStyle w:val="ListParagraph"/>
        <w:numPr>
          <w:ilvl w:val="0"/>
          <w:numId w:val="2"/>
        </w:numPr>
        <w:spacing w:before="40" w:after="40"/>
      </w:pPr>
      <w:r>
        <w:rPr>
          <w:rFonts w:ascii="Arial" w:cs="Arial" w:eastAsia="Arial" w:hAnsi="Arial"/>
          <w:sz w:val="22"/>
          <w:szCs w:val="22"/>
        </w:rPr>
        <w:t xml:space="preserve">Identification — collecting the customer's full name, date of birth, address and other identifying information</w:t>
      </w:r>
    </w:p>
    <w:p>
      <w:pPr>
        <w:pStyle w:val="ListParagraph"/>
        <w:numPr>
          <w:ilvl w:val="0"/>
          <w:numId w:val="2"/>
        </w:numPr>
        <w:spacing w:before="40" w:after="40"/>
      </w:pPr>
      <w:r>
        <w:rPr>
          <w:rFonts w:ascii="Arial" w:cs="Arial" w:eastAsia="Arial" w:hAnsi="Arial"/>
          <w:sz w:val="22"/>
          <w:szCs w:val="22"/>
        </w:rPr>
        <w:t xml:space="preserve">Verification — verifying identity using acceptable documents (see section 4)</w:t>
      </w:r>
    </w:p>
    <w:p>
      <w:pPr>
        <w:pStyle w:val="ListParagraph"/>
        <w:numPr>
          <w:ilvl w:val="0"/>
          <w:numId w:val="2"/>
        </w:numPr>
        <w:spacing w:before="40" w:after="40"/>
      </w:pPr>
      <w:r>
        <w:rPr>
          <w:rFonts w:ascii="Arial" w:cs="Arial" w:eastAsia="Arial" w:hAnsi="Arial"/>
          <w:sz w:val="22"/>
          <w:szCs w:val="22"/>
        </w:rPr>
        <w:t xml:space="preserve">Beneficial ownership — identifying who ultimately owns or controls the customer entity</w:t>
      </w:r>
    </w:p>
    <w:p>
      <w:pPr>
        <w:pStyle w:val="ListParagraph"/>
        <w:numPr>
          <w:ilvl w:val="0"/>
          <w:numId w:val="2"/>
        </w:numPr>
        <w:spacing w:before="40" w:after="40"/>
      </w:pPr>
      <w:r>
        <w:rPr>
          <w:rFonts w:ascii="Arial" w:cs="Arial" w:eastAsia="Arial" w:hAnsi="Arial"/>
          <w:sz w:val="22"/>
          <w:szCs w:val="22"/>
        </w:rPr>
        <w:t xml:space="preserve">PEP &amp; sanctions screening — checking the customer against PEP lists and sanctions lists</w:t>
      </w:r>
    </w:p>
    <w:p>
      <w:pPr>
        <w:pStyle w:val="ListParagraph"/>
        <w:numPr>
          <w:ilvl w:val="0"/>
          <w:numId w:val="2"/>
        </w:numPr>
        <w:spacing w:before="40" w:after="40"/>
      </w:pPr>
      <w:r>
        <w:rPr>
          <w:rFonts w:ascii="Arial" w:cs="Arial" w:eastAsia="Arial" w:hAnsi="Arial"/>
          <w:sz w:val="22"/>
          <w:szCs w:val="22"/>
        </w:rPr>
        <w:t xml:space="preserve">Risk assessment — assigning a risk rating (Standard / High) based on the customer's profile</w:t>
      </w:r>
    </w:p>
    <w:p>
      <w:pPr>
        <w:pStyle w:val="ListParagraph"/>
        <w:numPr>
          <w:ilvl w:val="0"/>
          <w:numId w:val="2"/>
        </w:numPr>
        <w:spacing w:before="40" w:after="40"/>
      </w:pPr>
      <w:r>
        <w:rPr>
          <w:rFonts w:ascii="Arial" w:cs="Arial" w:eastAsia="Arial" w:hAnsi="Arial"/>
          <w:sz w:val="22"/>
          <w:szCs w:val="22"/>
        </w:rPr>
        <w:t xml:space="preserve">Ongoing monitoring — monitoring the transaction for unusual activity through to settlement</w:t>
      </w:r>
    </w:p>
    <w:p>
      <w:pPr>
        <w:spacing w:before="200" w:after="0"/>
      </w:pPr>
      <w:r>
        <w:t xml:space="preserve"/>
      </w:r>
    </w:p>
    <w:p>
      <w:pPr>
        <w:pStyle w:val="Heading1"/>
        <w:spacing w:before="280" w:after="120"/>
      </w:pPr>
      <w:r>
        <w:rPr>
          <w:rFonts w:ascii="Arial" w:cs="Arial" w:eastAsia="Arial" w:hAnsi="Arial"/>
          <w:b/>
          <w:bCs/>
        </w:rPr>
        <w:t xml:space="preserve">2. Seller CDD — At Listing</w:t>
      </w:r>
    </w:p>
    <w:p>
      <w:pPr>
        <w:pStyle w:val="Heading2"/>
        <w:spacing w:before="280" w:after="120"/>
      </w:pPr>
      <w:r>
        <w:rPr>
          <w:rFonts w:ascii="Arial" w:cs="Arial" w:eastAsia="Arial" w:hAnsi="Arial"/>
          <w:b/>
          <w:bCs/>
        </w:rPr>
        <w:t xml:space="preserve">2.1 Timing</w:t>
      </w:r>
    </w:p>
    <w:p>
      <w:pPr>
        <w:spacing w:before="60" w:after="80"/>
      </w:pPr>
      <w:r>
        <w:rPr>
          <w:rFonts w:ascii="Arial" w:cs="Arial" w:eastAsia="Arial" w:hAnsi="Arial"/>
          <w:sz w:val="22"/>
          <w:szCs w:val="22"/>
        </w:rPr>
        <w:t xml:space="preserve">Seller CDD must be completed before or at the time of signing the agency agreement. You must not market or list the property before CDD is complete.</w:t>
      </w:r>
    </w:p>
    <w:p>
      <w:pPr>
        <w:spacing w:before="60" w:after="80"/>
      </w:pPr>
      <w:r>
        <w:rPr>
          <w:rFonts w:ascii="Arial" w:cs="Arial" w:eastAsia="Arial" w:hAnsi="Arial"/>
          <w:sz w:val="22"/>
          <w:szCs w:val="22"/>
        </w:rPr>
        <w:t xml:space="preserve">Legal reliance on another reporting entity is not available for seller CDD — the listing agent must perform CDD directly.</w:t>
      </w:r>
    </w:p>
    <w:p>
      <w:pPr>
        <w:pStyle w:val="Heading2"/>
        <w:spacing w:before="280" w:after="120"/>
      </w:pPr>
      <w:r>
        <w:rPr>
          <w:rFonts w:ascii="Arial" w:cs="Arial" w:eastAsia="Arial" w:hAnsi="Arial"/>
          <w:b/>
          <w:bCs/>
        </w:rPr>
        <w:t xml:space="preserve">2.2 Individual Seller</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280"/>
        <w:gridCol w:w="3280"/>
      </w:tblGrid>
      <w:tr>
        <w:tc>
          <w:tcPr>
            <w:tcW w:type="dxa" w:w="2800"/>
            <w:tcBorders>
              <w:top w:val="single" w:color="DDDDDD" w:sz="1"/>
              <w:left w:val="single" w:color="DDDDDD" w:sz="1"/>
              <w:bottom w:val="single" w:color="DDDDDD" w:sz="1"/>
              <w:right w:val="single" w:color="DDDDDD" w:sz="1"/>
            </w:tcBorders>
            <w:shd w:fill="C0392B" w:val="clear"/>
            <w:tcMar>
              <w:top w:type="dxa" w:w="80"/>
              <w:left w:type="dxa" w:w="120"/>
              <w:bottom w:type="dxa" w:w="80"/>
              <w:right w:type="dxa" w:w="120"/>
            </w:tcMar>
          </w:tcPr>
          <w:p>
            <w:r>
              <w:rPr>
                <w:rFonts w:ascii="Arial" w:cs="Arial" w:eastAsia="Arial" w:hAnsi="Arial"/>
                <w:b/>
                <w:bCs/>
                <w:color w:val="FFFFFF"/>
                <w:sz w:val="20"/>
                <w:szCs w:val="20"/>
              </w:rPr>
              <w:t xml:space="preserve">Information Required</w:t>
            </w:r>
          </w:p>
        </w:tc>
        <w:tc>
          <w:tcPr>
            <w:tcW w:type="dxa" w:w="3280"/>
            <w:tcBorders>
              <w:top w:val="single" w:color="DDDDDD" w:sz="1"/>
              <w:left w:val="single" w:color="DDDDDD" w:sz="1"/>
              <w:bottom w:val="single" w:color="DDDDDD" w:sz="1"/>
              <w:right w:val="single" w:color="DDDDDD" w:sz="1"/>
            </w:tcBorders>
            <w:shd w:fill="C0392B" w:val="clear"/>
            <w:tcMar>
              <w:top w:type="dxa" w:w="80"/>
              <w:left w:type="dxa" w:w="120"/>
              <w:bottom w:type="dxa" w:w="80"/>
              <w:right w:type="dxa" w:w="120"/>
            </w:tcMar>
          </w:tcPr>
          <w:p>
            <w:r>
              <w:rPr>
                <w:rFonts w:ascii="Arial" w:cs="Arial" w:eastAsia="Arial" w:hAnsi="Arial"/>
                <w:b/>
                <w:bCs/>
                <w:color w:val="FFFFFF"/>
                <w:sz w:val="20"/>
                <w:szCs w:val="20"/>
              </w:rPr>
              <w:t xml:space="preserve">How to Collect</w:t>
            </w:r>
          </w:p>
        </w:tc>
        <w:tc>
          <w:tcPr>
            <w:tcW w:type="dxa" w:w="3280"/>
            <w:tcBorders>
              <w:top w:val="single" w:color="DDDDDD" w:sz="1"/>
              <w:left w:val="single" w:color="DDDDDD" w:sz="1"/>
              <w:bottom w:val="single" w:color="DDDDDD" w:sz="1"/>
              <w:right w:val="single" w:color="DDDDDD" w:sz="1"/>
            </w:tcBorders>
            <w:shd w:fill="C0392B" w:val="clear"/>
            <w:tcMar>
              <w:top w:type="dxa" w:w="80"/>
              <w:left w:type="dxa" w:w="120"/>
              <w:bottom w:type="dxa" w:w="80"/>
              <w:right w:type="dxa" w:w="120"/>
            </w:tcMar>
          </w:tcPr>
          <w:p>
            <w:r>
              <w:rPr>
                <w:rFonts w:ascii="Arial" w:cs="Arial" w:eastAsia="Arial" w:hAnsi="Arial"/>
                <w:b/>
                <w:bCs/>
                <w:color w:val="FFFFFF"/>
                <w:sz w:val="20"/>
                <w:szCs w:val="20"/>
              </w:rPr>
              <w:t xml:space="preserve">How to Verify</w:t>
            </w:r>
          </w:p>
        </w:tc>
      </w:tr>
      <w:tr>
        <w:tc>
          <w:tcPr>
            <w:tcW w:type="dxa" w:w="28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sz w:val="20"/>
                <w:szCs w:val="20"/>
              </w:rPr>
              <w:t xml:space="preserve">Full legal name</w:t>
            </w:r>
          </w:p>
        </w:tc>
        <w:tc>
          <w:tcPr>
            <w:tcW w:type="dxa" w:w="328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sz w:val="20"/>
                <w:szCs w:val="20"/>
              </w:rPr>
              <w:t xml:space="preserve">Ask seller directly</w:t>
            </w:r>
          </w:p>
        </w:tc>
        <w:tc>
          <w:tcPr>
            <w:tcW w:type="dxa" w:w="328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sz w:val="20"/>
                <w:szCs w:val="20"/>
              </w:rPr>
              <w:t xml:space="preserve">Verify against ID document</w:t>
            </w:r>
          </w:p>
        </w:tc>
      </w:tr>
      <w:tr>
        <w:tc>
          <w:tcPr>
            <w:tcW w:type="dxa" w:w="2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sz w:val="20"/>
                <w:szCs w:val="20"/>
              </w:rPr>
              <w:t xml:space="preserve">Date of birth</w:t>
            </w:r>
          </w:p>
        </w:tc>
        <w:tc>
          <w:tcPr>
            <w:tcW w:type="dxa" w:w="328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sz w:val="20"/>
                <w:szCs w:val="20"/>
              </w:rPr>
              <w:t xml:space="preserve">Ask seller directly</w:t>
            </w:r>
          </w:p>
        </w:tc>
        <w:tc>
          <w:tcPr>
            <w:tcW w:type="dxa" w:w="328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sz w:val="20"/>
                <w:szCs w:val="20"/>
              </w:rPr>
              <w:t xml:space="preserve">Verify against ID document</w:t>
            </w:r>
          </w:p>
        </w:tc>
      </w:tr>
      <w:tr>
        <w:tc>
          <w:tcPr>
            <w:tcW w:type="dxa" w:w="28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sz w:val="20"/>
                <w:szCs w:val="20"/>
              </w:rPr>
              <w:t xml:space="preserve">Residential address</w:t>
            </w:r>
          </w:p>
        </w:tc>
        <w:tc>
          <w:tcPr>
            <w:tcW w:type="dxa" w:w="328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sz w:val="20"/>
                <w:szCs w:val="20"/>
              </w:rPr>
              <w:t xml:space="preserve">Ask seller directly</w:t>
            </w:r>
          </w:p>
        </w:tc>
        <w:tc>
          <w:tcPr>
            <w:tcW w:type="dxa" w:w="328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sz w:val="20"/>
                <w:szCs w:val="20"/>
              </w:rPr>
              <w:t xml:space="preserve">Verify against ID or utility bill</w:t>
            </w:r>
          </w:p>
        </w:tc>
      </w:tr>
      <w:tr>
        <w:tc>
          <w:tcPr>
            <w:tcW w:type="dxa" w:w="2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sz w:val="20"/>
                <w:szCs w:val="20"/>
              </w:rPr>
              <w:t xml:space="preserve">Occupation</w:t>
            </w:r>
          </w:p>
        </w:tc>
        <w:tc>
          <w:tcPr>
            <w:tcW w:type="dxa" w:w="328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sz w:val="20"/>
                <w:szCs w:val="20"/>
              </w:rPr>
              <w:t xml:space="preserve">Ask seller directly</w:t>
            </w:r>
          </w:p>
        </w:tc>
        <w:tc>
          <w:tcPr>
            <w:tcW w:type="dxa" w:w="328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sz w:val="20"/>
                <w:szCs w:val="20"/>
              </w:rPr>
              <w:t xml:space="preserve">Record as stated</w:t>
            </w:r>
          </w:p>
        </w:tc>
      </w:tr>
      <w:tr>
        <w:tc>
          <w:tcPr>
            <w:tcW w:type="dxa" w:w="28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sz w:val="20"/>
                <w:szCs w:val="20"/>
              </w:rPr>
              <w:t xml:space="preserve">Country of citizenship / residence</w:t>
            </w:r>
          </w:p>
        </w:tc>
        <w:tc>
          <w:tcPr>
            <w:tcW w:type="dxa" w:w="328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sz w:val="20"/>
                <w:szCs w:val="20"/>
              </w:rPr>
              <w:t xml:space="preserve">Ask seller directly</w:t>
            </w:r>
          </w:p>
        </w:tc>
        <w:tc>
          <w:tcPr>
            <w:tcW w:type="dxa" w:w="328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sz w:val="20"/>
                <w:szCs w:val="20"/>
              </w:rPr>
              <w:t xml:space="preserve">Record and assess risk</w:t>
            </w:r>
          </w:p>
        </w:tc>
      </w:tr>
      <w:tr>
        <w:tc>
          <w:tcPr>
            <w:tcW w:type="dxa" w:w="2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sz w:val="20"/>
                <w:szCs w:val="20"/>
              </w:rPr>
              <w:t xml:space="preserve">Purpose / reason for selling</w:t>
            </w:r>
          </w:p>
        </w:tc>
        <w:tc>
          <w:tcPr>
            <w:tcW w:type="dxa" w:w="328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sz w:val="20"/>
                <w:szCs w:val="20"/>
              </w:rPr>
              <w:t xml:space="preserve">Ask seller directly</w:t>
            </w:r>
          </w:p>
        </w:tc>
        <w:tc>
          <w:tcPr>
            <w:tcW w:type="dxa" w:w="328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sz w:val="20"/>
                <w:szCs w:val="20"/>
              </w:rPr>
              <w:t xml:space="preserve">Record as stated</w:t>
            </w:r>
          </w:p>
        </w:tc>
      </w:tr>
      <w:tr>
        <w:tc>
          <w:tcPr>
            <w:tcW w:type="dxa" w:w="28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sz w:val="20"/>
                <w:szCs w:val="20"/>
              </w:rPr>
              <w:t xml:space="preserve">Acting as agent / representative?</w:t>
            </w:r>
          </w:p>
        </w:tc>
        <w:tc>
          <w:tcPr>
            <w:tcW w:type="dxa" w:w="328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sz w:val="20"/>
                <w:szCs w:val="20"/>
              </w:rPr>
              <w:t xml:space="preserve">Ask seller directly</w:t>
            </w:r>
          </w:p>
        </w:tc>
        <w:tc>
          <w:tcPr>
            <w:tcW w:type="dxa" w:w="328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sz w:val="20"/>
                <w:szCs w:val="20"/>
              </w:rPr>
              <w:t xml:space="preserve">If yes — identify and verify the principal also</w:t>
            </w:r>
          </w:p>
        </w:tc>
      </w:tr>
    </w:tbl>
    <w:p>
      <w:pPr>
        <w:pStyle w:val="Heading2"/>
        <w:spacing w:before="280" w:after="120"/>
      </w:pPr>
      <w:r>
        <w:rPr>
          <w:rFonts w:ascii="Arial" w:cs="Arial" w:eastAsia="Arial" w:hAnsi="Arial"/>
          <w:b/>
          <w:bCs/>
        </w:rPr>
        <w:t xml:space="preserve">2.3 Company Seller</w:t>
      </w:r>
    </w:p>
    <w:p>
      <w:pPr>
        <w:spacing w:before="60" w:after="80"/>
      </w:pPr>
      <w:r>
        <w:rPr>
          <w:rFonts w:ascii="Arial" w:cs="Arial" w:eastAsia="Arial" w:hAnsi="Arial"/>
          <w:sz w:val="22"/>
          <w:szCs w:val="22"/>
        </w:rPr>
        <w:t xml:space="preserve">For a company selling property, complete the following:</w:t>
      </w:r>
    </w:p>
    <w:p>
      <w:pPr>
        <w:pStyle w:val="ListParagraph"/>
        <w:numPr>
          <w:ilvl w:val="0"/>
          <w:numId w:val="2"/>
        </w:numPr>
        <w:spacing w:before="40" w:after="40"/>
      </w:pPr>
      <w:r>
        <w:rPr>
          <w:rFonts w:ascii="Arial" w:cs="Arial" w:eastAsia="Arial" w:hAnsi="Arial"/>
          <w:sz w:val="22"/>
          <w:szCs w:val="22"/>
        </w:rPr>
        <w:t xml:space="preserve">Verify company name and ACN/ABN via ASIC company search</w:t>
      </w:r>
    </w:p>
    <w:p>
      <w:pPr>
        <w:pStyle w:val="ListParagraph"/>
        <w:numPr>
          <w:ilvl w:val="0"/>
          <w:numId w:val="2"/>
        </w:numPr>
        <w:spacing w:before="40" w:after="40"/>
      </w:pPr>
      <w:r>
        <w:rPr>
          <w:rFonts w:ascii="Arial" w:cs="Arial" w:eastAsia="Arial" w:hAnsi="Arial"/>
          <w:sz w:val="22"/>
          <w:szCs w:val="22"/>
        </w:rPr>
        <w:t xml:space="preserve">Identify all directors — collect full name and date of birth for each</w:t>
      </w:r>
    </w:p>
    <w:p>
      <w:pPr>
        <w:pStyle w:val="ListParagraph"/>
        <w:numPr>
          <w:ilvl w:val="0"/>
          <w:numId w:val="2"/>
        </w:numPr>
        <w:spacing w:before="40" w:after="40"/>
      </w:pPr>
      <w:r>
        <w:rPr>
          <w:rFonts w:ascii="Arial" w:cs="Arial" w:eastAsia="Arial" w:hAnsi="Arial"/>
          <w:sz w:val="22"/>
          <w:szCs w:val="22"/>
        </w:rPr>
        <w:t xml:space="preserve">Verify the identity of at least one director using acceptable ID</w:t>
      </w:r>
    </w:p>
    <w:p>
      <w:pPr>
        <w:pStyle w:val="ListParagraph"/>
        <w:numPr>
          <w:ilvl w:val="0"/>
          <w:numId w:val="2"/>
        </w:numPr>
        <w:spacing w:before="40" w:after="40"/>
      </w:pPr>
      <w:r>
        <w:rPr>
          <w:rFonts w:ascii="Arial" w:cs="Arial" w:eastAsia="Arial" w:hAnsi="Arial"/>
          <w:sz w:val="22"/>
          <w:szCs w:val="22"/>
        </w:rPr>
        <w:t xml:space="preserve">Identify beneficial owners — any individual owning or controlling 25% or more of the company</w:t>
      </w:r>
    </w:p>
    <w:p>
      <w:pPr>
        <w:pStyle w:val="ListParagraph"/>
        <w:numPr>
          <w:ilvl w:val="0"/>
          <w:numId w:val="2"/>
        </w:numPr>
        <w:spacing w:before="40" w:after="40"/>
      </w:pPr>
      <w:r>
        <w:rPr>
          <w:rFonts w:ascii="Arial" w:cs="Arial" w:eastAsia="Arial" w:hAnsi="Arial"/>
          <w:sz w:val="22"/>
          <w:szCs w:val="22"/>
        </w:rPr>
        <w:t xml:space="preserve">Verify beneficial owner identity using acceptable ID</w:t>
      </w:r>
    </w:p>
    <w:p>
      <w:pPr>
        <w:pStyle w:val="ListParagraph"/>
        <w:numPr>
          <w:ilvl w:val="0"/>
          <w:numId w:val="2"/>
        </w:numPr>
        <w:spacing w:before="40" w:after="40"/>
      </w:pPr>
      <w:r>
        <w:rPr>
          <w:rFonts w:ascii="Arial" w:cs="Arial" w:eastAsia="Arial" w:hAnsi="Arial"/>
          <w:sz w:val="22"/>
          <w:szCs w:val="22"/>
        </w:rPr>
        <w:t xml:space="preserve">Confirm who is authorised to sign the agency agreement</w:t>
      </w:r>
    </w:p>
    <w:p>
      <w:pPr>
        <w:pStyle w:val="Heading2"/>
        <w:spacing w:before="280" w:after="120"/>
      </w:pPr>
      <w:r>
        <w:rPr>
          <w:rFonts w:ascii="Arial" w:cs="Arial" w:eastAsia="Arial" w:hAnsi="Arial"/>
          <w:b/>
          <w:bCs/>
        </w:rPr>
        <w:t xml:space="preserve">2.4 Trust Seller</w:t>
      </w:r>
    </w:p>
    <w:p>
      <w:pPr>
        <w:spacing w:before="60" w:after="80"/>
      </w:pPr>
      <w:r>
        <w:rPr>
          <w:rFonts w:ascii="Arial" w:cs="Arial" w:eastAsia="Arial" w:hAnsi="Arial"/>
          <w:sz w:val="22"/>
          <w:szCs w:val="22"/>
        </w:rPr>
        <w:t xml:space="preserve">For a trust (including family trusts and SMSFs) selling property:</w:t>
      </w:r>
    </w:p>
    <w:p>
      <w:pPr>
        <w:pStyle w:val="ListParagraph"/>
        <w:numPr>
          <w:ilvl w:val="0"/>
          <w:numId w:val="2"/>
        </w:numPr>
        <w:spacing w:before="40" w:after="40"/>
      </w:pPr>
      <w:r>
        <w:rPr>
          <w:rFonts w:ascii="Arial" w:cs="Arial" w:eastAsia="Arial" w:hAnsi="Arial"/>
          <w:sz w:val="22"/>
          <w:szCs w:val="22"/>
        </w:rPr>
        <w:t xml:space="preserve">Obtain a copy of the trust deed (or SMSF trust deed) — verify trustee name matches the deed</w:t>
      </w:r>
    </w:p>
    <w:p>
      <w:pPr>
        <w:pStyle w:val="ListParagraph"/>
        <w:numPr>
          <w:ilvl w:val="0"/>
          <w:numId w:val="2"/>
        </w:numPr>
        <w:spacing w:before="40" w:after="40"/>
      </w:pPr>
      <w:r>
        <w:rPr>
          <w:rFonts w:ascii="Arial" w:cs="Arial" w:eastAsia="Arial" w:hAnsi="Arial"/>
          <w:sz w:val="22"/>
          <w:szCs w:val="22"/>
        </w:rPr>
        <w:t xml:space="preserve">If trustee is an individual — verify identity as per individual seller CDD</w:t>
      </w:r>
    </w:p>
    <w:p>
      <w:pPr>
        <w:pStyle w:val="ListParagraph"/>
        <w:numPr>
          <w:ilvl w:val="0"/>
          <w:numId w:val="2"/>
        </w:numPr>
        <w:spacing w:before="40" w:after="40"/>
      </w:pPr>
      <w:r>
        <w:rPr>
          <w:rFonts w:ascii="Arial" w:cs="Arial" w:eastAsia="Arial" w:hAnsi="Arial"/>
          <w:sz w:val="22"/>
          <w:szCs w:val="22"/>
        </w:rPr>
        <w:t xml:space="preserve">If trustee is a company — complete company CDD as above</w:t>
      </w:r>
    </w:p>
    <w:p>
      <w:pPr>
        <w:pStyle w:val="ListParagraph"/>
        <w:numPr>
          <w:ilvl w:val="0"/>
          <w:numId w:val="2"/>
        </w:numPr>
        <w:spacing w:before="40" w:after="40"/>
      </w:pPr>
      <w:r>
        <w:rPr>
          <w:rFonts w:ascii="Arial" w:cs="Arial" w:eastAsia="Arial" w:hAnsi="Arial"/>
          <w:sz w:val="22"/>
          <w:szCs w:val="22"/>
        </w:rPr>
        <w:t xml:space="preserve">Identify the settlor (if not deceased) and all beneficiaries where identifiable</w:t>
      </w:r>
    </w:p>
    <w:p>
      <w:pPr>
        <w:pStyle w:val="ListParagraph"/>
        <w:numPr>
          <w:ilvl w:val="0"/>
          <w:numId w:val="2"/>
        </w:numPr>
        <w:spacing w:before="40" w:after="40"/>
      </w:pPr>
      <w:r>
        <w:rPr>
          <w:rFonts w:ascii="Arial" w:cs="Arial" w:eastAsia="Arial" w:hAnsi="Arial"/>
          <w:sz w:val="22"/>
          <w:szCs w:val="22"/>
        </w:rPr>
        <w:t xml:space="preserve">Identify any individual with effective control over the trust</w:t>
      </w:r>
    </w:p>
    <w:p>
      <w:pPr>
        <w:pStyle w:val="ListParagraph"/>
        <w:numPr>
          <w:ilvl w:val="0"/>
          <w:numId w:val="2"/>
        </w:numPr>
        <w:spacing w:before="40" w:after="40"/>
      </w:pPr>
      <w:r>
        <w:rPr>
          <w:rFonts w:ascii="Arial" w:cs="Arial" w:eastAsia="Arial" w:hAnsi="Arial"/>
          <w:sz w:val="22"/>
          <w:szCs w:val="22"/>
        </w:rPr>
        <w:t xml:space="preserve">For SMSFs — verify all members' identities</w:t>
      </w:r>
    </w:p>
    <w:p>
      <w:pPr>
        <w:spacing w:before="200" w:after="0"/>
      </w:pPr>
      <w:r>
        <w:t xml:space="preserve"/>
      </w:r>
    </w:p>
    <w:p>
      <w:pPr>
        <w:pStyle w:val="Heading1"/>
        <w:spacing w:before="280" w:after="120"/>
      </w:pPr>
      <w:r>
        <w:rPr>
          <w:rFonts w:ascii="Arial" w:cs="Arial" w:eastAsia="Arial" w:hAnsi="Arial"/>
          <w:b/>
          <w:bCs/>
        </w:rPr>
        <w:t xml:space="preserve">3. Buyer CDD — Timing by Sale Method</w:t>
      </w:r>
    </w:p>
    <w:p>
      <w:pPr>
        <w:pStyle w:val="Heading2"/>
        <w:spacing w:before="280" w:after="120"/>
      </w:pPr>
      <w:r>
        <w:rPr>
          <w:rFonts w:ascii="Arial" w:cs="Arial" w:eastAsia="Arial" w:hAnsi="Arial"/>
          <w:b/>
          <w:bCs/>
        </w:rPr>
        <w:t xml:space="preserve">3.1 Private Sale</w:t>
      </w:r>
    </w:p>
    <w:p>
      <w:pPr>
        <w:spacing w:before="60" w:after="80"/>
      </w:pPr>
      <w:r>
        <w:rPr>
          <w:rFonts w:ascii="Arial" w:cs="Arial" w:eastAsia="Arial" w:hAnsi="Arial"/>
          <w:sz w:val="22"/>
          <w:szCs w:val="22"/>
        </w:rPr>
        <w:t xml:space="preserve">For a private sale, buyer CDD must be completed before exchange of contracts. The agent controls the timing — do not allow exchange to proceed until buyer CDD is complete.</w:t>
      </w:r>
    </w:p>
    <w:p>
      <w:pPr>
        <w:pStyle w:val="Heading2"/>
        <w:spacing w:before="280" w:after="120"/>
      </w:pPr>
      <w:r>
        <w:rPr>
          <w:rFonts w:ascii="Arial" w:cs="Arial" w:eastAsia="Arial" w:hAnsi="Arial"/>
          <w:b/>
          <w:bCs/>
        </w:rPr>
        <w:t xml:space="preserve">3.2 Auction</w:t>
      </w:r>
    </w:p>
    <w:p>
      <w:pPr>
        <w:spacing w:before="60" w:after="80"/>
      </w:pPr>
      <w:r>
        <w:rPr>
          <w:rFonts w:ascii="Arial" w:cs="Arial" w:eastAsia="Arial" w:hAnsi="Arial"/>
          <w:sz w:val="22"/>
          <w:szCs w:val="22"/>
        </w:rPr>
        <w:t xml:space="preserve">For an auction, because the buyer's identity may not be known before the auction, different timing applies:</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DDDDDD" w:sz="1"/>
              <w:left w:val="single" w:color="DDDDDD" w:sz="1"/>
              <w:bottom w:val="single" w:color="DDDDDD" w:sz="1"/>
              <w:right w:val="single" w:color="DDDDDD" w:sz="1"/>
            </w:tcBorders>
            <w:shd w:fill="C0392B" w:val="clear"/>
            <w:tcMar>
              <w:top w:type="dxa" w:w="80"/>
              <w:left w:type="dxa" w:w="120"/>
              <w:bottom w:type="dxa" w:w="80"/>
              <w:right w:type="dxa" w:w="120"/>
            </w:tcMar>
          </w:tcPr>
          <w:p>
            <w:r>
              <w:rPr>
                <w:rFonts w:ascii="Arial" w:cs="Arial" w:eastAsia="Arial" w:hAnsi="Arial"/>
                <w:b/>
                <w:bCs/>
                <w:color w:val="FFFFFF"/>
                <w:sz w:val="20"/>
                <w:szCs w:val="20"/>
              </w:rPr>
              <w:t xml:space="preserve">Scenario</w:t>
            </w:r>
          </w:p>
        </w:tc>
        <w:tc>
          <w:tcPr>
            <w:tcW w:type="dxa" w:w="6160"/>
            <w:tcBorders>
              <w:top w:val="single" w:color="DDDDDD" w:sz="1"/>
              <w:left w:val="single" w:color="DDDDDD" w:sz="1"/>
              <w:bottom w:val="single" w:color="DDDDDD" w:sz="1"/>
              <w:right w:val="single" w:color="DDDDDD" w:sz="1"/>
            </w:tcBorders>
            <w:shd w:fill="C0392B" w:val="clear"/>
            <w:tcMar>
              <w:top w:type="dxa" w:w="80"/>
              <w:left w:type="dxa" w:w="120"/>
              <w:bottom w:type="dxa" w:w="80"/>
              <w:right w:type="dxa" w:w="120"/>
            </w:tcMar>
          </w:tcPr>
          <w:p>
            <w:r>
              <w:rPr>
                <w:rFonts w:ascii="Arial" w:cs="Arial" w:eastAsia="Arial" w:hAnsi="Arial"/>
                <w:b/>
                <w:bCs/>
                <w:color w:val="FFFFFF"/>
                <w:sz w:val="20"/>
                <w:szCs w:val="20"/>
              </w:rPr>
              <w:t xml:space="preserve">CDD Deadline</w:t>
            </w:r>
          </w:p>
        </w:tc>
      </w:tr>
      <w:tr>
        <w:tc>
          <w:tcPr>
            <w:tcW w:type="dxa" w:w="32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sz w:val="20"/>
                <w:szCs w:val="20"/>
              </w:rPr>
              <w:t xml:space="preserve">Buyer known before auction</w:t>
            </w:r>
          </w:p>
        </w:tc>
        <w:tc>
          <w:tcPr>
            <w:tcW w:type="dxa" w:w="616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sz w:val="20"/>
                <w:szCs w:val="20"/>
              </w:rPr>
              <w:t xml:space="preserve">Complete CDD before the auction</w:t>
            </w:r>
          </w:p>
        </w:tc>
      </w:tr>
      <w:tr>
        <w:tc>
          <w:tcPr>
            <w:tcW w:type="dxa" w:w="3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sz w:val="20"/>
                <w:szCs w:val="20"/>
              </w:rPr>
              <w:t xml:space="preserve">Buyer identified at auction</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sz w:val="20"/>
                <w:szCs w:val="20"/>
              </w:rPr>
              <w:t xml:space="preserve">Within 28 days of exchange OR before settlement — whichever comes first</w:t>
            </w:r>
          </w:p>
        </w:tc>
      </w:tr>
    </w:tbl>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0392B" w:sz="3"/>
              <w:left w:val="single" w:color="C0392B" w:sz="6"/>
              <w:bottom w:val="single" w:color="C0392B" w:sz="3"/>
              <w:right w:val="single" w:color="C0392B" w:sz="3"/>
            </w:tcBorders>
            <w:shd w:fill="FDECEA" w:val="clear"/>
            <w:tcMar>
              <w:top w:type="dxa" w:w="120"/>
              <w:left w:type="dxa" w:w="180"/>
              <w:bottom w:type="dxa" w:w="120"/>
              <w:right w:type="dxa" w:w="180"/>
            </w:tcMar>
          </w:tcPr>
          <w:p>
            <w:r>
              <w:rPr>
                <w:rFonts w:ascii="Arial" w:cs="Arial" w:eastAsia="Arial" w:hAnsi="Arial"/>
                <w:b/>
                <w:bCs/>
                <w:color w:val="C0392B"/>
                <w:sz w:val="22"/>
                <w:szCs w:val="22"/>
              </w:rPr>
              <w:t xml:space="preserve">Auction CDD — Critical Timing</w:t>
            </w:r>
          </w:p>
          <w:p>
            <w:pPr>
              <w:spacing w:before="60"/>
            </w:pPr>
            <w:r>
              <w:rPr>
                <w:rFonts w:ascii="Arial" w:cs="Arial" w:eastAsia="Arial" w:hAnsi="Arial"/>
                <w:sz w:val="20"/>
                <w:szCs w:val="20"/>
              </w:rPr>
              <w:t xml:space="preserve">If buyer CDD is not complete within 28 days of exchange, it must be completed before settlement.</w:t>
            </w:r>
          </w:p>
          <w:p>
            <w:pPr>
              <w:spacing w:before="60"/>
            </w:pPr>
            <w:r>
              <w:rPr>
                <w:rFonts w:ascii="Arial" w:cs="Arial" w:eastAsia="Arial" w:hAnsi="Arial"/>
                <w:sz w:val="20"/>
                <w:szCs w:val="20"/>
              </w:rPr>
              <w:t xml:space="preserve">Do not allow settlement to proceed if buyer CDD is outstanding.</w:t>
            </w:r>
          </w:p>
          <w:p>
            <w:pPr>
              <w:spacing w:before="60"/>
            </w:pPr>
            <w:r>
              <w:rPr>
                <w:rFonts w:ascii="Arial" w:cs="Arial" w:eastAsia="Arial" w:hAnsi="Arial"/>
                <w:sz w:val="20"/>
                <w:szCs w:val="20"/>
              </w:rPr>
              <w:t xml:space="preserve">Record the date CDD was completed and the date of exchange — both are required for your compliance record.</w:t>
            </w:r>
          </w:p>
        </w:tc>
      </w:tr>
    </w:tbl>
    <w:p>
      <w:pPr>
        <w:pStyle w:val="Heading2"/>
        <w:spacing w:before="280" w:after="120"/>
      </w:pPr>
      <w:r>
        <w:rPr>
          <w:rFonts w:ascii="Arial" w:cs="Arial" w:eastAsia="Arial" w:hAnsi="Arial"/>
          <w:b/>
          <w:bCs/>
        </w:rPr>
        <w:t xml:space="preserve">3.3 Legal Reliance for Buyer CDD</w:t>
      </w:r>
    </w:p>
    <w:p>
      <w:pPr>
        <w:spacing w:before="60" w:after="80"/>
      </w:pPr>
      <w:r>
        <w:rPr>
          <w:rFonts w:ascii="Arial" w:cs="Arial" w:eastAsia="Arial" w:hAnsi="Arial"/>
          <w:sz w:val="22"/>
          <w:szCs w:val="22"/>
        </w:rPr>
        <w:t xml:space="preserve">Legal reliance on another reporting entity is available for buyer CDD. This allows the agency to rely on CDD performed by another entity (e.g. the buyer's solicitor or mortgage broker) if certain conditions are met.</w:t>
      </w:r>
    </w:p>
    <w:p>
      <w:pPr>
        <w:spacing w:before="60" w:after="80"/>
      </w:pPr>
      <w:r>
        <w:rPr>
          <w:rFonts w:ascii="Arial" w:cs="Arial" w:eastAsia="Arial" w:hAnsi="Arial"/>
          <w:sz w:val="22"/>
          <w:szCs w:val="22"/>
        </w:rPr>
        <w:t xml:space="preserve">Conditions for legal reliance:</w:t>
      </w:r>
    </w:p>
    <w:p>
      <w:pPr>
        <w:pStyle w:val="ListParagraph"/>
        <w:numPr>
          <w:ilvl w:val="0"/>
          <w:numId w:val="2"/>
        </w:numPr>
        <w:spacing w:before="40" w:after="40"/>
      </w:pPr>
      <w:r>
        <w:rPr>
          <w:rFonts w:ascii="Arial" w:cs="Arial" w:eastAsia="Arial" w:hAnsi="Arial"/>
          <w:sz w:val="22"/>
          <w:szCs w:val="22"/>
        </w:rPr>
        <w:t xml:space="preserve">The third party is a reporting entity under the AML/CTF Act</w:t>
      </w:r>
    </w:p>
    <w:p>
      <w:pPr>
        <w:pStyle w:val="ListParagraph"/>
        <w:numPr>
          <w:ilvl w:val="0"/>
          <w:numId w:val="2"/>
        </w:numPr>
        <w:spacing w:before="40" w:after="40"/>
      </w:pPr>
      <w:r>
        <w:rPr>
          <w:rFonts w:ascii="Arial" w:cs="Arial" w:eastAsia="Arial" w:hAnsi="Arial"/>
          <w:sz w:val="22"/>
          <w:szCs w:val="22"/>
        </w:rPr>
        <w:t xml:space="preserve">The third party has performed CDD on the buyer that meets our requirements</w:t>
      </w:r>
    </w:p>
    <w:p>
      <w:pPr>
        <w:pStyle w:val="ListParagraph"/>
        <w:numPr>
          <w:ilvl w:val="0"/>
          <w:numId w:val="2"/>
        </w:numPr>
        <w:spacing w:before="40" w:after="40"/>
      </w:pPr>
      <w:r>
        <w:rPr>
          <w:rFonts w:ascii="Arial" w:cs="Arial" w:eastAsia="Arial" w:hAnsi="Arial"/>
          <w:sz w:val="22"/>
          <w:szCs w:val="22"/>
        </w:rPr>
        <w:t xml:space="preserve">The third party provides written confirmation of this</w:t>
      </w:r>
    </w:p>
    <w:p>
      <w:pPr>
        <w:pStyle w:val="ListParagraph"/>
        <w:numPr>
          <w:ilvl w:val="0"/>
          <w:numId w:val="2"/>
        </w:numPr>
        <w:spacing w:before="40" w:after="40"/>
      </w:pPr>
      <w:r>
        <w:rPr>
          <w:rFonts w:ascii="Arial" w:cs="Arial" w:eastAsia="Arial" w:hAnsi="Arial"/>
          <w:sz w:val="22"/>
          <w:szCs w:val="22"/>
        </w:rPr>
        <w:t xml:space="preserve">We keep a record of the written confirmation</w:t>
      </w:r>
    </w:p>
    <w:p>
      <w:pPr>
        <w:spacing w:before="60" w:after="80"/>
      </w:pPr>
      <w:r>
        <w:rPr>
          <w:rFonts w:ascii="Arial" w:cs="Arial" w:eastAsia="Arial" w:hAnsi="Arial"/>
          <w:b/>
          <w:bCs/>
          <w:sz w:val="20"/>
          <w:szCs w:val="20"/>
        </w:rPr>
        <w:t xml:space="preserve">Note: Legal reliance does not remove the obligation to perform PEP and sanctions screening — this must still be done by the agency.</w:t>
      </w:r>
    </w:p>
    <w:p>
      <w:pPr>
        <w:spacing w:before="200" w:after="0"/>
      </w:pPr>
      <w:r>
        <w:t xml:space="preserve"/>
      </w:r>
    </w:p>
    <w:p>
      <w:pPr>
        <w:pStyle w:val="Heading1"/>
        <w:spacing w:before="280" w:after="120"/>
      </w:pPr>
      <w:r>
        <w:rPr>
          <w:rFonts w:ascii="Arial" w:cs="Arial" w:eastAsia="Arial" w:hAnsi="Arial"/>
          <w:b/>
          <w:bCs/>
        </w:rPr>
        <w:t xml:space="preserve">4. Acceptable Verification Methods</w:t>
      </w:r>
    </w:p>
    <w:p>
      <w:pPr>
        <w:pStyle w:val="Heading2"/>
        <w:spacing w:before="280" w:after="120"/>
      </w:pPr>
      <w:r>
        <w:rPr>
          <w:rFonts w:ascii="Arial" w:cs="Arial" w:eastAsia="Arial" w:hAnsi="Arial"/>
          <w:b/>
          <w:bCs/>
        </w:rPr>
        <w:t xml:space="preserve">4.1 Standard Verification (DVS)</w:t>
      </w:r>
    </w:p>
    <w:p>
      <w:pPr>
        <w:spacing w:before="60" w:after="80"/>
      </w:pPr>
      <w:r>
        <w:rPr>
          <w:rFonts w:ascii="Arial" w:cs="Arial" w:eastAsia="Arial" w:hAnsi="Arial"/>
          <w:sz w:val="22"/>
          <w:szCs w:val="22"/>
        </w:rPr>
        <w:t xml:space="preserve">Identity must be verified using the Document Verification Service (DVS) or equivalent electronic verification. Acceptable documents include:</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3080"/>
        <w:gridCol w:w="3080"/>
      </w:tblGrid>
      <w:tr>
        <w:tc>
          <w:tcPr>
            <w:tcW w:type="dxa" w:w="3200"/>
            <w:tcBorders>
              <w:top w:val="single" w:color="DDDDDD" w:sz="1"/>
              <w:left w:val="single" w:color="DDDDDD" w:sz="1"/>
              <w:bottom w:val="single" w:color="DDDDDD" w:sz="1"/>
              <w:right w:val="single" w:color="DDDDDD" w:sz="1"/>
            </w:tcBorders>
            <w:shd w:fill="C0392B" w:val="clear"/>
            <w:tcMar>
              <w:top w:type="dxa" w:w="80"/>
              <w:left w:type="dxa" w:w="120"/>
              <w:bottom w:type="dxa" w:w="80"/>
              <w:right w:type="dxa" w:w="120"/>
            </w:tcMar>
          </w:tcPr>
          <w:p>
            <w:r>
              <w:rPr>
                <w:rFonts w:ascii="Arial" w:cs="Arial" w:eastAsia="Arial" w:hAnsi="Arial"/>
                <w:b/>
                <w:bCs/>
                <w:color w:val="FFFFFF"/>
                <w:sz w:val="20"/>
                <w:szCs w:val="20"/>
              </w:rPr>
              <w:t xml:space="preserve">Document Type</w:t>
            </w:r>
          </w:p>
        </w:tc>
        <w:tc>
          <w:tcPr>
            <w:tcW w:type="dxa" w:w="3080"/>
            <w:tcBorders>
              <w:top w:val="single" w:color="DDDDDD" w:sz="1"/>
              <w:left w:val="single" w:color="DDDDDD" w:sz="1"/>
              <w:bottom w:val="single" w:color="DDDDDD" w:sz="1"/>
              <w:right w:val="single" w:color="DDDDDD" w:sz="1"/>
            </w:tcBorders>
            <w:shd w:fill="C0392B" w:val="clear"/>
            <w:tcMar>
              <w:top w:type="dxa" w:w="80"/>
              <w:left w:type="dxa" w:w="120"/>
              <w:bottom w:type="dxa" w:w="80"/>
              <w:right w:type="dxa" w:w="120"/>
            </w:tcMar>
          </w:tcPr>
          <w:p>
            <w:r>
              <w:rPr>
                <w:rFonts w:ascii="Arial" w:cs="Arial" w:eastAsia="Arial" w:hAnsi="Arial"/>
                <w:b/>
                <w:bCs/>
                <w:color w:val="FFFFFF"/>
                <w:sz w:val="20"/>
                <w:szCs w:val="20"/>
              </w:rPr>
              <w:t xml:space="preserve">Issued By</w:t>
            </w:r>
          </w:p>
        </w:tc>
        <w:tc>
          <w:tcPr>
            <w:tcW w:type="dxa" w:w="3080"/>
            <w:tcBorders>
              <w:top w:val="single" w:color="DDDDDD" w:sz="1"/>
              <w:left w:val="single" w:color="DDDDDD" w:sz="1"/>
              <w:bottom w:val="single" w:color="DDDDDD" w:sz="1"/>
              <w:right w:val="single" w:color="DDDDDD" w:sz="1"/>
            </w:tcBorders>
            <w:shd w:fill="C0392B" w:val="clear"/>
            <w:tcMar>
              <w:top w:type="dxa" w:w="80"/>
              <w:left w:type="dxa" w:w="120"/>
              <w:bottom w:type="dxa" w:w="80"/>
              <w:right w:type="dxa" w:w="120"/>
            </w:tcMar>
          </w:tcPr>
          <w:p>
            <w:r>
              <w:rPr>
                <w:rFonts w:ascii="Arial" w:cs="Arial" w:eastAsia="Arial" w:hAnsi="Arial"/>
                <w:b/>
                <w:bCs/>
                <w:color w:val="FFFFFF"/>
                <w:sz w:val="20"/>
                <w:szCs w:val="20"/>
              </w:rPr>
              <w:t xml:space="preserve">Notes</w:t>
            </w:r>
          </w:p>
        </w:tc>
      </w:tr>
      <w:tr>
        <w:tc>
          <w:tcPr>
            <w:tcW w:type="dxa" w:w="32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sz w:val="20"/>
                <w:szCs w:val="20"/>
              </w:rPr>
              <w:t xml:space="preserve">Australian passport</w:t>
            </w:r>
          </w:p>
        </w:tc>
        <w:tc>
          <w:tcPr>
            <w:tcW w:type="dxa" w:w="308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sz w:val="20"/>
                <w:szCs w:val="20"/>
              </w:rPr>
              <w:t xml:space="preserve">Department of Home Affairs</w:t>
            </w:r>
          </w:p>
        </w:tc>
        <w:tc>
          <w:tcPr>
            <w:tcW w:type="dxa" w:w="308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sz w:val="20"/>
                <w:szCs w:val="20"/>
              </w:rPr>
              <w:t xml:space="preserve">Primary document — verify via DVS</w:t>
            </w:r>
          </w:p>
        </w:tc>
      </w:tr>
      <w:tr>
        <w:tc>
          <w:tcPr>
            <w:tcW w:type="dxa" w:w="3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sz w:val="20"/>
                <w:szCs w:val="20"/>
              </w:rPr>
              <w:t xml:space="preserve">Foreign passport</w:t>
            </w:r>
          </w:p>
        </w:tc>
        <w:tc>
          <w:tcPr>
            <w:tcW w:type="dxa" w:w="308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sz w:val="20"/>
                <w:szCs w:val="20"/>
              </w:rPr>
              <w:t xml:space="preserve">Overseas government</w:t>
            </w:r>
          </w:p>
        </w:tc>
        <w:tc>
          <w:tcPr>
            <w:tcW w:type="dxa" w:w="308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sz w:val="20"/>
                <w:szCs w:val="20"/>
              </w:rPr>
              <w:t xml:space="preserve">Acceptable — higher risk if from FATF high-risk jurisdiction</w:t>
            </w:r>
          </w:p>
        </w:tc>
      </w:tr>
      <w:tr>
        <w:tc>
          <w:tcPr>
            <w:tcW w:type="dxa" w:w="32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sz w:val="20"/>
                <w:szCs w:val="20"/>
              </w:rPr>
              <w:t xml:space="preserve">Australian driver's licence</w:t>
            </w:r>
          </w:p>
        </w:tc>
        <w:tc>
          <w:tcPr>
            <w:tcW w:type="dxa" w:w="308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sz w:val="20"/>
                <w:szCs w:val="20"/>
              </w:rPr>
              <w:t xml:space="preserve">State/Territory road authority</w:t>
            </w:r>
          </w:p>
        </w:tc>
        <w:tc>
          <w:tcPr>
            <w:tcW w:type="dxa" w:w="308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sz w:val="20"/>
                <w:szCs w:val="20"/>
              </w:rPr>
              <w:t xml:space="preserve">Primary document — verify via DVS</w:t>
            </w:r>
          </w:p>
        </w:tc>
      </w:tr>
      <w:tr>
        <w:tc>
          <w:tcPr>
            <w:tcW w:type="dxa" w:w="3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sz w:val="20"/>
                <w:szCs w:val="20"/>
              </w:rPr>
              <w:t xml:space="preserve">Medicare card</w:t>
            </w:r>
          </w:p>
        </w:tc>
        <w:tc>
          <w:tcPr>
            <w:tcW w:type="dxa" w:w="308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sz w:val="20"/>
                <w:szCs w:val="20"/>
              </w:rPr>
              <w:t xml:space="preserve">Services Australia</w:t>
            </w:r>
          </w:p>
        </w:tc>
        <w:tc>
          <w:tcPr>
            <w:tcW w:type="dxa" w:w="308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sz w:val="20"/>
                <w:szCs w:val="20"/>
              </w:rPr>
              <w:t xml:space="preserve">Secondary document — use as supplement</w:t>
            </w:r>
          </w:p>
        </w:tc>
      </w:tr>
      <w:tr>
        <w:tc>
          <w:tcPr>
            <w:tcW w:type="dxa" w:w="32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sz w:val="20"/>
                <w:szCs w:val="20"/>
              </w:rPr>
              <w:t xml:space="preserve">Birth certificate</w:t>
            </w:r>
          </w:p>
        </w:tc>
        <w:tc>
          <w:tcPr>
            <w:tcW w:type="dxa" w:w="308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sz w:val="20"/>
                <w:szCs w:val="20"/>
              </w:rPr>
              <w:t xml:space="preserve">State/Territory registry</w:t>
            </w:r>
          </w:p>
        </w:tc>
        <w:tc>
          <w:tcPr>
            <w:tcW w:type="dxa" w:w="308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sz w:val="20"/>
                <w:szCs w:val="20"/>
              </w:rPr>
              <w:t xml:space="preserve">Acceptable — verify authenticity</w:t>
            </w:r>
          </w:p>
        </w:tc>
      </w:tr>
      <w:tr>
        <w:tc>
          <w:tcPr>
            <w:tcW w:type="dxa" w:w="3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sz w:val="20"/>
                <w:szCs w:val="20"/>
              </w:rPr>
              <w:t xml:space="preserve">Citizenship certificate</w:t>
            </w:r>
          </w:p>
        </w:tc>
        <w:tc>
          <w:tcPr>
            <w:tcW w:type="dxa" w:w="308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sz w:val="20"/>
                <w:szCs w:val="20"/>
              </w:rPr>
              <w:t xml:space="preserve">Department of Home Affairs</w:t>
            </w:r>
          </w:p>
        </w:tc>
        <w:tc>
          <w:tcPr>
            <w:tcW w:type="dxa" w:w="308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sz w:val="20"/>
                <w:szCs w:val="20"/>
              </w:rPr>
              <w:t xml:space="preserve">Acceptable</w:t>
            </w:r>
          </w:p>
        </w:tc>
      </w:tr>
    </w:tbl>
    <w:p>
      <w:pPr>
        <w:pStyle w:val="Heading2"/>
        <w:spacing w:before="280" w:after="120"/>
      </w:pPr>
      <w:r>
        <w:rPr>
          <w:rFonts w:ascii="Arial" w:cs="Arial" w:eastAsia="Arial" w:hAnsi="Arial"/>
          <w:b/>
          <w:bCs/>
        </w:rPr>
        <w:t xml:space="preserve">4.2 Verification Methods</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DDDDDD" w:sz="1"/>
              <w:left w:val="single" w:color="DDDDDD" w:sz="1"/>
              <w:bottom w:val="single" w:color="DDDDDD" w:sz="1"/>
              <w:right w:val="single" w:color="DDDDDD" w:sz="1"/>
            </w:tcBorders>
            <w:shd w:fill="C0392B" w:val="clear"/>
            <w:tcMar>
              <w:top w:type="dxa" w:w="80"/>
              <w:left w:type="dxa" w:w="120"/>
              <w:bottom w:type="dxa" w:w="80"/>
              <w:right w:type="dxa" w:w="120"/>
            </w:tcMar>
          </w:tcPr>
          <w:p>
            <w:r>
              <w:rPr>
                <w:rFonts w:ascii="Arial" w:cs="Arial" w:eastAsia="Arial" w:hAnsi="Arial"/>
                <w:b/>
                <w:bCs/>
                <w:color w:val="FFFFFF"/>
                <w:sz w:val="20"/>
                <w:szCs w:val="20"/>
              </w:rPr>
              <w:t xml:space="preserve">Method</w:t>
            </w:r>
          </w:p>
        </w:tc>
        <w:tc>
          <w:tcPr>
            <w:tcW w:type="dxa" w:w="6160"/>
            <w:tcBorders>
              <w:top w:val="single" w:color="DDDDDD" w:sz="1"/>
              <w:left w:val="single" w:color="DDDDDD" w:sz="1"/>
              <w:bottom w:val="single" w:color="DDDDDD" w:sz="1"/>
              <w:right w:val="single" w:color="DDDDDD" w:sz="1"/>
            </w:tcBorders>
            <w:shd w:fill="C0392B" w:val="clear"/>
            <w:tcMar>
              <w:top w:type="dxa" w:w="80"/>
              <w:left w:type="dxa" w:w="120"/>
              <w:bottom w:type="dxa" w:w="80"/>
              <w:right w:type="dxa" w:w="120"/>
            </w:tcMar>
          </w:tcPr>
          <w:p>
            <w:r>
              <w:rPr>
                <w:rFonts w:ascii="Arial" w:cs="Arial" w:eastAsia="Arial" w:hAnsi="Arial"/>
                <w:b/>
                <w:bCs/>
                <w:color w:val="FFFFFF"/>
                <w:sz w:val="20"/>
                <w:szCs w:val="20"/>
              </w:rPr>
              <w:t xml:space="preserve">When to Use</w:t>
            </w:r>
          </w:p>
        </w:tc>
      </w:tr>
      <w:tr>
        <w:tc>
          <w:tcPr>
            <w:tcW w:type="dxa" w:w="32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sz w:val="20"/>
                <w:szCs w:val="20"/>
              </w:rPr>
              <w:t xml:space="preserve">Electronic verification (DVS)</w:t>
            </w:r>
          </w:p>
        </w:tc>
        <w:tc>
          <w:tcPr>
            <w:tcW w:type="dxa" w:w="616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sz w:val="20"/>
                <w:szCs w:val="20"/>
              </w:rPr>
              <w:t xml:space="preserve">Preferred — fast, reliable, auditable</w:t>
            </w:r>
          </w:p>
        </w:tc>
      </w:tr>
      <w:tr>
        <w:tc>
          <w:tcPr>
            <w:tcW w:type="dxa" w:w="3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sz w:val="20"/>
                <w:szCs w:val="20"/>
              </w:rPr>
              <w:t xml:space="preserve">In-person document inspection</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sz w:val="20"/>
                <w:szCs w:val="20"/>
              </w:rPr>
              <w:t xml:space="preserve">Acceptable — take certified copy and record verification date</w:t>
            </w:r>
          </w:p>
        </w:tc>
      </w:tr>
      <w:tr>
        <w:tc>
          <w:tcPr>
            <w:tcW w:type="dxa" w:w="32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sz w:val="20"/>
                <w:szCs w:val="20"/>
              </w:rPr>
              <w:t xml:space="preserve">Certified copy by solicitor/JP</w:t>
            </w:r>
          </w:p>
        </w:tc>
        <w:tc>
          <w:tcPr>
            <w:tcW w:type="dxa" w:w="616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sz w:val="20"/>
                <w:szCs w:val="20"/>
              </w:rPr>
              <w:t xml:space="preserve">Acceptable for remote customers — must be recently certified</w:t>
            </w:r>
          </w:p>
        </w:tc>
      </w:tr>
      <w:tr>
        <w:tc>
          <w:tcPr>
            <w:tcW w:type="dxa" w:w="3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sz w:val="20"/>
                <w:szCs w:val="20"/>
              </w:rPr>
              <w:t xml:space="preserve">Video call identity check</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sz w:val="20"/>
                <w:szCs w:val="20"/>
              </w:rPr>
              <w:t xml:space="preserve">Acceptable — document the process and outcome</w:t>
            </w:r>
          </w:p>
        </w:tc>
      </w:tr>
    </w:tbl>
    <w:p>
      <w:pPr>
        <w:spacing w:before="200" w:after="0"/>
      </w:pPr>
      <w:r>
        <w:t xml:space="preserve"/>
      </w:r>
    </w:p>
    <w:p>
      <w:pPr>
        <w:pStyle w:val="Heading1"/>
        <w:spacing w:before="280" w:after="120"/>
      </w:pPr>
      <w:r>
        <w:rPr>
          <w:rFonts w:ascii="Arial" w:cs="Arial" w:eastAsia="Arial" w:hAnsi="Arial"/>
          <w:b/>
          <w:bCs/>
        </w:rPr>
        <w:t xml:space="preserve">5. PEP &amp; Sanctions Screening</w:t>
      </w:r>
    </w:p>
    <w:p>
      <w:pPr>
        <w:pStyle w:val="Heading2"/>
        <w:spacing w:before="280" w:after="120"/>
      </w:pPr>
      <w:r>
        <w:rPr>
          <w:rFonts w:ascii="Arial" w:cs="Arial" w:eastAsia="Arial" w:hAnsi="Arial"/>
          <w:b/>
          <w:bCs/>
        </w:rPr>
        <w:t xml:space="preserve">5.1 What is a PEP?</w:t>
      </w:r>
    </w:p>
    <w:p>
      <w:pPr>
        <w:spacing w:before="60" w:after="80"/>
      </w:pPr>
      <w:r>
        <w:rPr>
          <w:rFonts w:ascii="Arial" w:cs="Arial" w:eastAsia="Arial" w:hAnsi="Arial"/>
          <w:sz w:val="22"/>
          <w:szCs w:val="22"/>
        </w:rPr>
        <w:t xml:space="preserve">A Politically Exposed Person (PEP) is an individual who holds or has held a prominent public function — such as a head of state, government minister, senior judiciary or military officer, or senior executive of a state-owned enterprise — in Australia or overseas.</w:t>
      </w:r>
    </w:p>
    <w:p>
      <w:pPr>
        <w:spacing w:before="60" w:after="80"/>
      </w:pPr>
      <w:r>
        <w:rPr>
          <w:rFonts w:ascii="Arial" w:cs="Arial" w:eastAsia="Arial" w:hAnsi="Arial"/>
          <w:sz w:val="22"/>
          <w:szCs w:val="22"/>
        </w:rPr>
        <w:t xml:space="preserve">PEP status creates a higher risk of corruption and ML/TF. PEPs must be treated as high-risk customers regardless of other factors.</w:t>
      </w:r>
    </w:p>
    <w:p>
      <w:pPr>
        <w:pStyle w:val="Heading2"/>
        <w:spacing w:before="280" w:after="120"/>
      </w:pPr>
      <w:r>
        <w:rPr>
          <w:rFonts w:ascii="Arial" w:cs="Arial" w:eastAsia="Arial" w:hAnsi="Arial"/>
          <w:b/>
          <w:bCs/>
        </w:rPr>
        <w:t xml:space="preserve">5.2 Screening Procedure</w:t>
      </w:r>
    </w:p>
    <w:p>
      <w:pPr>
        <w:spacing w:before="60" w:after="80"/>
      </w:pPr>
      <w:r>
        <w:rPr>
          <w:rFonts w:ascii="Arial" w:cs="Arial" w:eastAsia="Arial" w:hAnsi="Arial"/>
          <w:sz w:val="22"/>
          <w:szCs w:val="22"/>
        </w:rPr>
        <w:t xml:space="preserve">Screen every seller and buyer against the following lists before completing CDD:</w:t>
      </w:r>
    </w:p>
    <w:p>
      <w:pPr>
        <w:pStyle w:val="ListParagraph"/>
        <w:numPr>
          <w:ilvl w:val="0"/>
          <w:numId w:val="2"/>
        </w:numPr>
        <w:spacing w:before="40" w:after="40"/>
      </w:pPr>
      <w:r>
        <w:rPr>
          <w:rFonts w:ascii="Arial" w:cs="Arial" w:eastAsia="Arial" w:hAnsi="Arial"/>
          <w:sz w:val="22"/>
          <w:szCs w:val="22"/>
        </w:rPr>
        <w:t xml:space="preserve">DFAT Consolidated Sanctions List — dfat.gov.au/sanctions</w:t>
      </w:r>
    </w:p>
    <w:p>
      <w:pPr>
        <w:pStyle w:val="ListParagraph"/>
        <w:numPr>
          <w:ilvl w:val="0"/>
          <w:numId w:val="2"/>
        </w:numPr>
        <w:spacing w:before="40" w:after="40"/>
      </w:pPr>
      <w:r>
        <w:rPr>
          <w:rFonts w:ascii="Arial" w:cs="Arial" w:eastAsia="Arial" w:hAnsi="Arial"/>
          <w:sz w:val="22"/>
          <w:szCs w:val="22"/>
        </w:rPr>
        <w:t xml:space="preserve">UN Security Council Consolidated List</w:t>
      </w:r>
    </w:p>
    <w:p>
      <w:pPr>
        <w:pStyle w:val="ListParagraph"/>
        <w:numPr>
          <w:ilvl w:val="0"/>
          <w:numId w:val="2"/>
        </w:numPr>
        <w:spacing w:before="40" w:after="40"/>
      </w:pPr>
      <w:r>
        <w:rPr>
          <w:rFonts w:ascii="Arial" w:cs="Arial" w:eastAsia="Arial" w:hAnsi="Arial"/>
          <w:sz w:val="22"/>
          <w:szCs w:val="22"/>
        </w:rPr>
        <w:t xml:space="preserve">PEP screening (use a commercial screening tool or manual review)</w:t>
      </w:r>
    </w:p>
    <w:p>
      <w:pPr>
        <w:spacing w:before="60" w:after="80"/>
      </w:pPr>
      <w:r>
        <w:rPr>
          <w:rFonts w:ascii="Arial" w:cs="Arial" w:eastAsia="Arial" w:hAnsi="Arial"/>
          <w:sz w:val="22"/>
          <w:szCs w:val="22"/>
        </w:rPr>
        <w:t xml:space="preserve">Record the date of screening and the outcome for every customer.</w:t>
      </w:r>
    </w:p>
    <w:p>
      <w:pPr>
        <w:spacing w:before="60" w:after="80"/>
      </w:pPr>
      <w:r>
        <w:rPr>
          <w:rFonts w:ascii="Arial" w:cs="Arial" w:eastAsia="Arial" w:hAnsi="Arial"/>
          <w:b/>
          <w:bCs/>
          <w:sz w:val="20"/>
          <w:szCs w:val="20"/>
        </w:rPr>
        <w:t xml:space="preserve">Note: Legal reliance does not cover PEP and sanctions screening — this must always be performed directly by the agency.</w:t>
      </w:r>
    </w:p>
    <w:p>
      <w:pPr>
        <w:pStyle w:val="Heading2"/>
        <w:spacing w:before="280" w:after="120"/>
      </w:pPr>
      <w:r>
        <w:rPr>
          <w:rFonts w:ascii="Arial" w:cs="Arial" w:eastAsia="Arial" w:hAnsi="Arial"/>
          <w:b/>
          <w:bCs/>
        </w:rPr>
        <w:t xml:space="preserve">5.3 If a Customer is a PEP or Sanctioned</w:t>
      </w:r>
    </w:p>
    <w:p>
      <w:pPr>
        <w:spacing w:before="60" w:after="80"/>
      </w:pPr>
      <w:r>
        <w:rPr>
          <w:rFonts w:ascii="Arial" w:cs="Arial" w:eastAsia="Arial" w:hAnsi="Arial"/>
          <w:sz w:val="22"/>
          <w:szCs w:val="22"/>
        </w:rPr>
        <w:t xml:space="preserve">If screening identifies a PEP or sanctioned individual:</w:t>
      </w:r>
    </w:p>
    <w:p>
      <w:pPr>
        <w:pStyle w:val="ListParagraph"/>
        <w:numPr>
          <w:ilvl w:val="0"/>
          <w:numId w:val="2"/>
        </w:numPr>
        <w:spacing w:before="40" w:after="40"/>
      </w:pPr>
      <w:r>
        <w:rPr>
          <w:rFonts w:ascii="Arial" w:cs="Arial" w:eastAsia="Arial" w:hAnsi="Arial"/>
          <w:sz w:val="22"/>
          <w:szCs w:val="22"/>
        </w:rPr>
        <w:t xml:space="preserve">Do not proceed with the transaction without AMLCO approval</w:t>
      </w:r>
    </w:p>
    <w:p>
      <w:pPr>
        <w:pStyle w:val="ListParagraph"/>
        <w:numPr>
          <w:ilvl w:val="0"/>
          <w:numId w:val="2"/>
        </w:numPr>
        <w:spacing w:before="40" w:after="40"/>
      </w:pPr>
      <w:r>
        <w:rPr>
          <w:rFonts w:ascii="Arial" w:cs="Arial" w:eastAsia="Arial" w:hAnsi="Arial"/>
          <w:sz w:val="22"/>
          <w:szCs w:val="22"/>
        </w:rPr>
        <w:t xml:space="preserve">For a sanctioned individual — do not proceed at all; file an SMR with AUSTRAC</w:t>
      </w:r>
    </w:p>
    <w:p>
      <w:pPr>
        <w:pStyle w:val="ListParagraph"/>
        <w:numPr>
          <w:ilvl w:val="0"/>
          <w:numId w:val="2"/>
        </w:numPr>
        <w:spacing w:before="40" w:after="40"/>
      </w:pPr>
      <w:r>
        <w:rPr>
          <w:rFonts w:ascii="Arial" w:cs="Arial" w:eastAsia="Arial" w:hAnsi="Arial"/>
          <w:sz w:val="22"/>
          <w:szCs w:val="22"/>
        </w:rPr>
        <w:t xml:space="preserve">For a PEP — escalate to AMLCO immediately; obtain senior manager written approval before proceeding</w:t>
      </w:r>
    </w:p>
    <w:p>
      <w:pPr>
        <w:pStyle w:val="ListParagraph"/>
        <w:numPr>
          <w:ilvl w:val="0"/>
          <w:numId w:val="2"/>
        </w:numPr>
        <w:spacing w:before="40" w:after="40"/>
      </w:pPr>
      <w:r>
        <w:rPr>
          <w:rFonts w:ascii="Arial" w:cs="Arial" w:eastAsia="Arial" w:hAnsi="Arial"/>
          <w:sz w:val="22"/>
          <w:szCs w:val="22"/>
        </w:rPr>
        <w:t xml:space="preserve">Apply enhanced CDD (see section 6)</w:t>
      </w:r>
    </w:p>
    <w:p>
      <w:pPr>
        <w:pStyle w:val="ListParagraph"/>
        <w:numPr>
          <w:ilvl w:val="0"/>
          <w:numId w:val="2"/>
        </w:numPr>
        <w:spacing w:before="40" w:after="40"/>
      </w:pPr>
      <w:r>
        <w:rPr>
          <w:rFonts w:ascii="Arial" w:cs="Arial" w:eastAsia="Arial" w:hAnsi="Arial"/>
          <w:sz w:val="22"/>
          <w:szCs w:val="22"/>
        </w:rPr>
        <w:t xml:space="preserve">Document all decisions and outcomes</w:t>
      </w:r>
    </w:p>
    <w:p>
      <w:pPr>
        <w:spacing w:before="200" w:after="0"/>
      </w:pPr>
      <w:r>
        <w:t xml:space="preserve"/>
      </w:r>
    </w:p>
    <w:p>
      <w:pPr>
        <w:pStyle w:val="Heading1"/>
        <w:spacing w:before="280" w:after="120"/>
      </w:pPr>
      <w:r>
        <w:rPr>
          <w:rFonts w:ascii="Arial" w:cs="Arial" w:eastAsia="Arial" w:hAnsi="Arial"/>
          <w:b/>
          <w:bCs/>
        </w:rPr>
        <w:t xml:space="preserve">6. Customer Risk Assessment</w:t>
      </w:r>
    </w:p>
    <w:p>
      <w:pPr>
        <w:pStyle w:val="Heading2"/>
        <w:spacing w:before="280" w:after="120"/>
      </w:pPr>
      <w:r>
        <w:rPr>
          <w:rFonts w:ascii="Arial" w:cs="Arial" w:eastAsia="Arial" w:hAnsi="Arial"/>
          <w:b/>
          <w:bCs/>
        </w:rPr>
        <w:t xml:space="preserve">6.1 Risk Factors</w:t>
      </w:r>
    </w:p>
    <w:p>
      <w:pPr>
        <w:spacing w:before="60" w:after="80"/>
      </w:pPr>
      <w:r>
        <w:rPr>
          <w:rFonts w:ascii="Arial" w:cs="Arial" w:eastAsia="Arial" w:hAnsi="Arial"/>
          <w:sz w:val="22"/>
          <w:szCs w:val="22"/>
        </w:rPr>
        <w:t xml:space="preserve">Assign a risk rating (Standard or High) to each seller and buyer based on the following factors:</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DDD" w:sz="1"/>
              <w:left w:val="single" w:color="DDDDDD" w:sz="1"/>
              <w:bottom w:val="single" w:color="DDDDDD" w:sz="1"/>
              <w:right w:val="single" w:color="DDDDDD" w:sz="1"/>
            </w:tcBorders>
            <w:shd w:fill="C0392B" w:val="clear"/>
            <w:tcMar>
              <w:top w:type="dxa" w:w="80"/>
              <w:left w:type="dxa" w:w="120"/>
              <w:bottom w:type="dxa" w:w="80"/>
              <w:right w:type="dxa" w:w="120"/>
            </w:tcMar>
          </w:tcPr>
          <w:p>
            <w:r>
              <w:rPr>
                <w:rFonts w:ascii="Arial" w:cs="Arial" w:eastAsia="Arial" w:hAnsi="Arial"/>
                <w:b/>
                <w:bCs/>
                <w:color w:val="FFFFFF"/>
                <w:sz w:val="20"/>
                <w:szCs w:val="20"/>
              </w:rPr>
              <w:t xml:space="preserve">Higher Risk Indicators</w:t>
            </w:r>
          </w:p>
        </w:tc>
        <w:tc>
          <w:tcPr>
            <w:tcW w:type="dxa" w:w="4680"/>
            <w:tcBorders>
              <w:top w:val="single" w:color="DDDDDD" w:sz="1"/>
              <w:left w:val="single" w:color="DDDDDD" w:sz="1"/>
              <w:bottom w:val="single" w:color="DDDDDD" w:sz="1"/>
              <w:right w:val="single" w:color="DDDDDD" w:sz="1"/>
            </w:tcBorders>
            <w:shd w:fill="C0392B" w:val="clear"/>
            <w:tcMar>
              <w:top w:type="dxa" w:w="80"/>
              <w:left w:type="dxa" w:w="120"/>
              <w:bottom w:type="dxa" w:w="80"/>
              <w:right w:type="dxa" w:w="120"/>
            </w:tcMar>
          </w:tcPr>
          <w:p>
            <w:r>
              <w:rPr>
                <w:rFonts w:ascii="Arial" w:cs="Arial" w:eastAsia="Arial" w:hAnsi="Arial"/>
                <w:b/>
                <w:bCs/>
                <w:color w:val="FFFFFF"/>
                <w:sz w:val="20"/>
                <w:szCs w:val="20"/>
              </w:rPr>
              <w:t xml:space="preserve">Lower Risk Indicators</w:t>
            </w:r>
          </w:p>
        </w:tc>
      </w:tr>
      <w:tr>
        <w:tc>
          <w:tcPr>
            <w:tcW w:type="dxa" w:w="468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sz w:val="20"/>
                <w:szCs w:val="20"/>
              </w:rPr>
              <w:t xml:space="preserve">Foreign national or non-resident</w:t>
            </w:r>
          </w:p>
        </w:tc>
        <w:tc>
          <w:tcPr>
            <w:tcW w:type="dxa" w:w="468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sz w:val="20"/>
                <w:szCs w:val="20"/>
              </w:rPr>
              <w:t xml:space="preserve">Australian resident — known to agency</w:t>
            </w:r>
          </w:p>
        </w:tc>
      </w:tr>
      <w:tr>
        <w:tc>
          <w:tcPr>
            <w:tcW w:type="dxa" w:w="468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sz w:val="20"/>
                <w:szCs w:val="20"/>
              </w:rPr>
              <w:t xml:space="preserve">PEP or PEP associate</w:t>
            </w:r>
          </w:p>
        </w:tc>
        <w:tc>
          <w:tcPr>
            <w:tcW w:type="dxa" w:w="468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sz w:val="20"/>
                <w:szCs w:val="20"/>
              </w:rPr>
              <w:t xml:space="preserve">No PEP connection</w:t>
            </w:r>
          </w:p>
        </w:tc>
      </w:tr>
      <w:tr>
        <w:tc>
          <w:tcPr>
            <w:tcW w:type="dxa" w:w="468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sz w:val="20"/>
                <w:szCs w:val="20"/>
              </w:rPr>
              <w:t xml:space="preserve">Complex ownership structure (multiple companies/trusts)</w:t>
            </w:r>
          </w:p>
        </w:tc>
        <w:tc>
          <w:tcPr>
            <w:tcW w:type="dxa" w:w="468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sz w:val="20"/>
                <w:szCs w:val="20"/>
              </w:rPr>
              <w:t xml:space="preserve">Simple individual ownership</w:t>
            </w:r>
          </w:p>
        </w:tc>
      </w:tr>
      <w:tr>
        <w:tc>
          <w:tcPr>
            <w:tcW w:type="dxa" w:w="468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sz w:val="20"/>
                <w:szCs w:val="20"/>
              </w:rPr>
              <w:t xml:space="preserve">Transaction in cash or unusual payment method</w:t>
            </w:r>
          </w:p>
        </w:tc>
        <w:tc>
          <w:tcPr>
            <w:tcW w:type="dxa" w:w="468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sz w:val="20"/>
                <w:szCs w:val="20"/>
              </w:rPr>
              <w:t xml:space="preserve">Standard bank transfer / mortgage funding</w:t>
            </w:r>
          </w:p>
        </w:tc>
      </w:tr>
      <w:tr>
        <w:tc>
          <w:tcPr>
            <w:tcW w:type="dxa" w:w="468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sz w:val="20"/>
                <w:szCs w:val="20"/>
              </w:rPr>
              <w:t xml:space="preserve">Source of funds unclear or inconsistent with occupation</w:t>
            </w:r>
          </w:p>
        </w:tc>
        <w:tc>
          <w:tcPr>
            <w:tcW w:type="dxa" w:w="468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sz w:val="20"/>
                <w:szCs w:val="20"/>
              </w:rPr>
              <w:t xml:space="preserve">Source of funds consistent with occupation and means</w:t>
            </w:r>
          </w:p>
        </w:tc>
      </w:tr>
      <w:tr>
        <w:tc>
          <w:tcPr>
            <w:tcW w:type="dxa" w:w="468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sz w:val="20"/>
                <w:szCs w:val="20"/>
              </w:rPr>
              <w:t xml:space="preserve">Customer from FATF high-risk jurisdiction</w:t>
            </w:r>
          </w:p>
        </w:tc>
        <w:tc>
          <w:tcPr>
            <w:tcW w:type="dxa" w:w="468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sz w:val="20"/>
                <w:szCs w:val="20"/>
              </w:rPr>
              <w:t xml:space="preserve">Customer from low-risk jurisdiction</w:t>
            </w:r>
          </w:p>
        </w:tc>
      </w:tr>
      <w:tr>
        <w:tc>
          <w:tcPr>
            <w:tcW w:type="dxa" w:w="468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sz w:val="20"/>
                <w:szCs w:val="20"/>
              </w:rPr>
              <w:t xml:space="preserve">Customer acting through an agent/representative</w:t>
            </w:r>
          </w:p>
        </w:tc>
        <w:tc>
          <w:tcPr>
            <w:tcW w:type="dxa" w:w="468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sz w:val="20"/>
                <w:szCs w:val="20"/>
              </w:rPr>
              <w:t xml:space="preserve">Customer acting directly</w:t>
            </w:r>
          </w:p>
        </w:tc>
      </w:tr>
      <w:tr>
        <w:tc>
          <w:tcPr>
            <w:tcW w:type="dxa" w:w="468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sz w:val="20"/>
                <w:szCs w:val="20"/>
              </w:rPr>
              <w:t xml:space="preserve">High-value transaction relative to apparent means</w:t>
            </w:r>
          </w:p>
        </w:tc>
        <w:tc>
          <w:tcPr>
            <w:tcW w:type="dxa" w:w="468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sz w:val="20"/>
                <w:szCs w:val="20"/>
              </w:rPr>
              <w:t xml:space="preserve">Transaction consistent with customer profile</w:t>
            </w:r>
          </w:p>
        </w:tc>
      </w:tr>
    </w:tbl>
    <w:p>
      <w:pPr>
        <w:pStyle w:val="Heading2"/>
        <w:spacing w:before="280" w:after="120"/>
      </w:pPr>
      <w:r>
        <w:rPr>
          <w:rFonts w:ascii="Arial" w:cs="Arial" w:eastAsia="Arial" w:hAnsi="Arial"/>
          <w:b/>
          <w:bCs/>
        </w:rPr>
        <w:t xml:space="preserve">6.2 Risk Rating Outcomes</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480"/>
        <w:gridCol w:w="3480"/>
      </w:tblGrid>
      <w:tr>
        <w:tc>
          <w:tcPr>
            <w:tcW w:type="dxa" w:w="2400"/>
            <w:tcBorders>
              <w:top w:val="single" w:color="DDDDDD" w:sz="1"/>
              <w:left w:val="single" w:color="DDDDDD" w:sz="1"/>
              <w:bottom w:val="single" w:color="DDDDDD" w:sz="1"/>
              <w:right w:val="single" w:color="DDDDDD" w:sz="1"/>
            </w:tcBorders>
            <w:shd w:fill="C0392B" w:val="clear"/>
            <w:tcMar>
              <w:top w:type="dxa" w:w="80"/>
              <w:left w:type="dxa" w:w="120"/>
              <w:bottom w:type="dxa" w:w="80"/>
              <w:right w:type="dxa" w:w="120"/>
            </w:tcMar>
          </w:tcPr>
          <w:p>
            <w:r>
              <w:rPr>
                <w:rFonts w:ascii="Arial" w:cs="Arial" w:eastAsia="Arial" w:hAnsi="Arial"/>
                <w:b/>
                <w:bCs/>
                <w:color w:val="FFFFFF"/>
                <w:sz w:val="20"/>
                <w:szCs w:val="20"/>
              </w:rPr>
              <w:t xml:space="preserve">Rating</w:t>
            </w:r>
          </w:p>
        </w:tc>
        <w:tc>
          <w:tcPr>
            <w:tcW w:type="dxa" w:w="3480"/>
            <w:tcBorders>
              <w:top w:val="single" w:color="DDDDDD" w:sz="1"/>
              <w:left w:val="single" w:color="DDDDDD" w:sz="1"/>
              <w:bottom w:val="single" w:color="DDDDDD" w:sz="1"/>
              <w:right w:val="single" w:color="DDDDDD" w:sz="1"/>
            </w:tcBorders>
            <w:shd w:fill="C0392B" w:val="clear"/>
            <w:tcMar>
              <w:top w:type="dxa" w:w="80"/>
              <w:left w:type="dxa" w:w="120"/>
              <w:bottom w:type="dxa" w:w="80"/>
              <w:right w:type="dxa" w:w="120"/>
            </w:tcMar>
          </w:tcPr>
          <w:p>
            <w:r>
              <w:rPr>
                <w:rFonts w:ascii="Arial" w:cs="Arial" w:eastAsia="Arial" w:hAnsi="Arial"/>
                <w:b/>
                <w:bCs/>
                <w:color w:val="FFFFFF"/>
                <w:sz w:val="20"/>
                <w:szCs w:val="20"/>
              </w:rPr>
              <w:t xml:space="preserve">Definition</w:t>
            </w:r>
          </w:p>
        </w:tc>
        <w:tc>
          <w:tcPr>
            <w:tcW w:type="dxa" w:w="3480"/>
            <w:tcBorders>
              <w:top w:val="single" w:color="DDDDDD" w:sz="1"/>
              <w:left w:val="single" w:color="DDDDDD" w:sz="1"/>
              <w:bottom w:val="single" w:color="DDDDDD" w:sz="1"/>
              <w:right w:val="single" w:color="DDDDDD" w:sz="1"/>
            </w:tcBorders>
            <w:shd w:fill="C0392B" w:val="clear"/>
            <w:tcMar>
              <w:top w:type="dxa" w:w="80"/>
              <w:left w:type="dxa" w:w="120"/>
              <w:bottom w:type="dxa" w:w="80"/>
              <w:right w:type="dxa" w:w="120"/>
            </w:tcMar>
          </w:tcPr>
          <w:p>
            <w:r>
              <w:rPr>
                <w:rFonts w:ascii="Arial" w:cs="Arial" w:eastAsia="Arial" w:hAnsi="Arial"/>
                <w:b/>
                <w:bCs/>
                <w:color w:val="FFFFFF"/>
                <w:sz w:val="20"/>
                <w:szCs w:val="20"/>
              </w:rPr>
              <w:t xml:space="preserve">Action Required</w:t>
            </w:r>
          </w:p>
        </w:tc>
      </w:tr>
      <w:tr>
        <w:tc>
          <w:tcPr>
            <w:tcW w:type="dxa" w:w="24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sz w:val="20"/>
                <w:szCs w:val="20"/>
              </w:rPr>
              <w:t xml:space="preserve">Standard</w:t>
            </w:r>
          </w:p>
        </w:tc>
        <w:tc>
          <w:tcPr>
            <w:tcW w:type="dxa" w:w="348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sz w:val="20"/>
                <w:szCs w:val="20"/>
              </w:rPr>
              <w:t xml:space="preserve">No significant risk factors identified</w:t>
            </w:r>
          </w:p>
        </w:tc>
        <w:tc>
          <w:tcPr>
            <w:tcW w:type="dxa" w:w="348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sz w:val="20"/>
                <w:szCs w:val="20"/>
              </w:rPr>
              <w:t xml:space="preserve">Standard CDD — complete verification, record outcome</w:t>
            </w:r>
          </w:p>
        </w:tc>
      </w:tr>
      <w:tr>
        <w:tc>
          <w:tcPr>
            <w:tcW w:type="dxa" w:w="24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sz w:val="20"/>
                <w:szCs w:val="20"/>
              </w:rPr>
              <w:t xml:space="preserve">High</w:t>
            </w:r>
          </w:p>
        </w:tc>
        <w:tc>
          <w:tcPr>
            <w:tcW w:type="dxa" w:w="348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sz w:val="20"/>
                <w:szCs w:val="20"/>
              </w:rPr>
              <w:t xml:space="preserve">One or more high-risk indicators present</w:t>
            </w:r>
          </w:p>
        </w:tc>
        <w:tc>
          <w:tcPr>
            <w:tcW w:type="dxa" w:w="348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sz w:val="20"/>
                <w:szCs w:val="20"/>
              </w:rPr>
              <w:t xml:space="preserve">Enhanced CDD — escalate to AMLCO, senior manager approval required before proceeding</w:t>
            </w:r>
          </w:p>
        </w:tc>
      </w:tr>
    </w:tbl>
    <w:p>
      <w:pPr>
        <w:pStyle w:val="Heading2"/>
        <w:spacing w:before="280" w:after="120"/>
      </w:pPr>
      <w:r>
        <w:rPr>
          <w:rFonts w:ascii="Arial" w:cs="Arial" w:eastAsia="Arial" w:hAnsi="Arial"/>
          <w:b/>
          <w:bCs/>
        </w:rPr>
        <w:t xml:space="preserve">6.3 Enhanced CDD (High-Risk Customers)</w:t>
      </w:r>
    </w:p>
    <w:p>
      <w:pPr>
        <w:spacing w:before="60" w:after="80"/>
      </w:pPr>
      <w:r>
        <w:rPr>
          <w:rFonts w:ascii="Arial" w:cs="Arial" w:eastAsia="Arial" w:hAnsi="Arial"/>
          <w:sz w:val="22"/>
          <w:szCs w:val="22"/>
        </w:rPr>
        <w:t xml:space="preserve">For customers rated High risk, apply the following enhanced measures:</w:t>
      </w:r>
    </w:p>
    <w:p>
      <w:pPr>
        <w:pStyle w:val="ListParagraph"/>
        <w:numPr>
          <w:ilvl w:val="0"/>
          <w:numId w:val="2"/>
        </w:numPr>
        <w:spacing w:before="40" w:after="40"/>
      </w:pPr>
      <w:r>
        <w:rPr>
          <w:rFonts w:ascii="Arial" w:cs="Arial" w:eastAsia="Arial" w:hAnsi="Arial"/>
          <w:sz w:val="22"/>
          <w:szCs w:val="22"/>
        </w:rPr>
        <w:t xml:space="preserve">Obtain additional identity documents — at least two separate documents</w:t>
      </w:r>
    </w:p>
    <w:p>
      <w:pPr>
        <w:pStyle w:val="ListParagraph"/>
        <w:numPr>
          <w:ilvl w:val="0"/>
          <w:numId w:val="2"/>
        </w:numPr>
        <w:spacing w:before="40" w:after="40"/>
      </w:pPr>
      <w:r>
        <w:rPr>
          <w:rFonts w:ascii="Arial" w:cs="Arial" w:eastAsia="Arial" w:hAnsi="Arial"/>
          <w:sz w:val="22"/>
          <w:szCs w:val="22"/>
        </w:rPr>
        <w:t xml:space="preserve">Conduct enhanced source of funds assessment — request documentary evidence</w:t>
      </w:r>
    </w:p>
    <w:p>
      <w:pPr>
        <w:pStyle w:val="ListParagraph"/>
        <w:numPr>
          <w:ilvl w:val="0"/>
          <w:numId w:val="2"/>
        </w:numPr>
        <w:spacing w:before="40" w:after="40"/>
      </w:pPr>
      <w:r>
        <w:rPr>
          <w:rFonts w:ascii="Arial" w:cs="Arial" w:eastAsia="Arial" w:hAnsi="Arial"/>
          <w:sz w:val="22"/>
          <w:szCs w:val="22"/>
        </w:rPr>
        <w:t xml:space="preserve">Escalate to AMLCO before proceeding</w:t>
      </w:r>
    </w:p>
    <w:p>
      <w:pPr>
        <w:pStyle w:val="ListParagraph"/>
        <w:numPr>
          <w:ilvl w:val="0"/>
          <w:numId w:val="2"/>
        </w:numPr>
        <w:spacing w:before="40" w:after="40"/>
      </w:pPr>
      <w:r>
        <w:rPr>
          <w:rFonts w:ascii="Arial" w:cs="Arial" w:eastAsia="Arial" w:hAnsi="Arial"/>
          <w:sz w:val="22"/>
          <w:szCs w:val="22"/>
        </w:rPr>
        <w:t xml:space="preserve">Obtain written senior manager approval before proceeding with the transaction</w:t>
      </w:r>
    </w:p>
    <w:p>
      <w:pPr>
        <w:pStyle w:val="ListParagraph"/>
        <w:numPr>
          <w:ilvl w:val="0"/>
          <w:numId w:val="2"/>
        </w:numPr>
        <w:spacing w:before="40" w:after="40"/>
      </w:pPr>
      <w:r>
        <w:rPr>
          <w:rFonts w:ascii="Arial" w:cs="Arial" w:eastAsia="Arial" w:hAnsi="Arial"/>
          <w:sz w:val="22"/>
          <w:szCs w:val="22"/>
        </w:rPr>
        <w:t xml:space="preserve">Increase monitoring frequency through to settlement</w:t>
      </w:r>
    </w:p>
    <w:p>
      <w:pPr>
        <w:pStyle w:val="ListParagraph"/>
        <w:numPr>
          <w:ilvl w:val="0"/>
          <w:numId w:val="2"/>
        </w:numPr>
        <w:spacing w:before="40" w:after="40"/>
      </w:pPr>
      <w:r>
        <w:rPr>
          <w:rFonts w:ascii="Arial" w:cs="Arial" w:eastAsia="Arial" w:hAnsi="Arial"/>
          <w:sz w:val="22"/>
          <w:szCs w:val="22"/>
        </w:rPr>
        <w:t xml:space="preserve">Document all enhanced measures taken and their outcomes</w:t>
      </w:r>
    </w:p>
    <w:p>
      <w:pPr>
        <w:spacing w:before="200" w:after="0"/>
      </w:pPr>
      <w:r>
        <w:t xml:space="preserve"/>
      </w:r>
    </w:p>
    <w:p>
      <w:pPr>
        <w:pStyle w:val="Heading1"/>
        <w:spacing w:before="280" w:after="120"/>
      </w:pPr>
      <w:r>
        <w:rPr>
          <w:rFonts w:ascii="Arial" w:cs="Arial" w:eastAsia="Arial" w:hAnsi="Arial"/>
          <w:b/>
          <w:bCs/>
        </w:rPr>
        <w:t xml:space="preserve">7. Red Flag Indicators</w:t>
      </w:r>
    </w:p>
    <w:p>
      <w:pPr>
        <w:spacing w:before="60" w:after="80"/>
      </w:pPr>
      <w:r>
        <w:rPr>
          <w:rFonts w:ascii="Arial" w:cs="Arial" w:eastAsia="Arial" w:hAnsi="Arial"/>
          <w:sz w:val="22"/>
          <w:szCs w:val="22"/>
        </w:rPr>
        <w:t xml:space="preserve">The following are red flag indicators that may suggest a transaction involves ML/TF/PF. They do not automatically mean the transaction is suspicious, but they must be escalated to the AMLCO for review.</w:t>
      </w:r>
    </w:p>
    <w:p>
      <w:pPr>
        <w:pStyle w:val="ListParagraph"/>
        <w:numPr>
          <w:ilvl w:val="0"/>
          <w:numId w:val="2"/>
        </w:numPr>
        <w:spacing w:before="40" w:after="40"/>
      </w:pPr>
      <w:r>
        <w:rPr>
          <w:rFonts w:ascii="Arial" w:cs="Arial" w:eastAsia="Arial" w:hAnsi="Arial"/>
          <w:sz w:val="22"/>
          <w:szCs w:val="22"/>
        </w:rPr>
        <w:t xml:space="preserve">Customer offers to pay entirely in cash or in cryptocurrency</w:t>
      </w:r>
    </w:p>
    <w:p>
      <w:pPr>
        <w:pStyle w:val="ListParagraph"/>
        <w:numPr>
          <w:ilvl w:val="0"/>
          <w:numId w:val="2"/>
        </w:numPr>
        <w:spacing w:before="40" w:after="40"/>
      </w:pPr>
      <w:r>
        <w:rPr>
          <w:rFonts w:ascii="Arial" w:cs="Arial" w:eastAsia="Arial" w:hAnsi="Arial"/>
          <w:sz w:val="22"/>
          <w:szCs w:val="22"/>
        </w:rPr>
        <w:t xml:space="preserve">Purchase price is significantly above or below market value with no clear explanation</w:t>
      </w:r>
    </w:p>
    <w:p>
      <w:pPr>
        <w:pStyle w:val="ListParagraph"/>
        <w:numPr>
          <w:ilvl w:val="0"/>
          <w:numId w:val="2"/>
        </w:numPr>
        <w:spacing w:before="40" w:after="40"/>
      </w:pPr>
      <w:r>
        <w:rPr>
          <w:rFonts w:ascii="Arial" w:cs="Arial" w:eastAsia="Arial" w:hAnsi="Arial"/>
          <w:sz w:val="22"/>
          <w:szCs w:val="22"/>
        </w:rPr>
        <w:t xml:space="preserve">Customer is disinterested in property features but intensely focused on completing quickly</w:t>
      </w:r>
    </w:p>
    <w:p>
      <w:pPr>
        <w:pStyle w:val="ListParagraph"/>
        <w:numPr>
          <w:ilvl w:val="0"/>
          <w:numId w:val="2"/>
        </w:numPr>
        <w:spacing w:before="40" w:after="40"/>
      </w:pPr>
      <w:r>
        <w:rPr>
          <w:rFonts w:ascii="Arial" w:cs="Arial" w:eastAsia="Arial" w:hAnsi="Arial"/>
          <w:sz w:val="22"/>
          <w:szCs w:val="22"/>
        </w:rPr>
        <w:t xml:space="preserve">Customer is reluctant to provide identification or reasons for purchase</w:t>
      </w:r>
    </w:p>
    <w:p>
      <w:pPr>
        <w:pStyle w:val="ListParagraph"/>
        <w:numPr>
          <w:ilvl w:val="0"/>
          <w:numId w:val="2"/>
        </w:numPr>
        <w:spacing w:before="40" w:after="40"/>
      </w:pPr>
      <w:r>
        <w:rPr>
          <w:rFonts w:ascii="Arial" w:cs="Arial" w:eastAsia="Arial" w:hAnsi="Arial"/>
          <w:sz w:val="22"/>
          <w:szCs w:val="22"/>
        </w:rPr>
        <w:t xml:space="preserve">Funds are coming from multiple unrelated third parties</w:t>
      </w:r>
    </w:p>
    <w:p>
      <w:pPr>
        <w:pStyle w:val="ListParagraph"/>
        <w:numPr>
          <w:ilvl w:val="0"/>
          <w:numId w:val="2"/>
        </w:numPr>
        <w:spacing w:before="40" w:after="40"/>
      </w:pPr>
      <w:r>
        <w:rPr>
          <w:rFonts w:ascii="Arial" w:cs="Arial" w:eastAsia="Arial" w:hAnsi="Arial"/>
          <w:sz w:val="22"/>
          <w:szCs w:val="22"/>
        </w:rPr>
        <w:t xml:space="preserve">Customer changes payment method or funding source unexpectedly</w:t>
      </w:r>
    </w:p>
    <w:p>
      <w:pPr>
        <w:pStyle w:val="ListParagraph"/>
        <w:numPr>
          <w:ilvl w:val="0"/>
          <w:numId w:val="2"/>
        </w:numPr>
        <w:spacing w:before="40" w:after="40"/>
      </w:pPr>
      <w:r>
        <w:rPr>
          <w:rFonts w:ascii="Arial" w:cs="Arial" w:eastAsia="Arial" w:hAnsi="Arial"/>
          <w:sz w:val="22"/>
          <w:szCs w:val="22"/>
        </w:rPr>
        <w:t xml:space="preserve">Purchase is made through a complex chain of companies/trusts with no clear business reason</w:t>
      </w:r>
    </w:p>
    <w:p>
      <w:pPr>
        <w:pStyle w:val="ListParagraph"/>
        <w:numPr>
          <w:ilvl w:val="0"/>
          <w:numId w:val="2"/>
        </w:numPr>
        <w:spacing w:before="40" w:after="40"/>
      </w:pPr>
      <w:r>
        <w:rPr>
          <w:rFonts w:ascii="Arial" w:cs="Arial" w:eastAsia="Arial" w:hAnsi="Arial"/>
          <w:sz w:val="22"/>
          <w:szCs w:val="22"/>
        </w:rPr>
        <w:t xml:space="preserve">Customer is known to be associated with criminal activity or is a foreign PEP</w:t>
      </w:r>
    </w:p>
    <w:p>
      <w:pPr>
        <w:pStyle w:val="ListParagraph"/>
        <w:numPr>
          <w:ilvl w:val="0"/>
          <w:numId w:val="2"/>
        </w:numPr>
        <w:spacing w:before="40" w:after="40"/>
      </w:pPr>
      <w:r>
        <w:rPr>
          <w:rFonts w:ascii="Arial" w:cs="Arial" w:eastAsia="Arial" w:hAnsi="Arial"/>
          <w:sz w:val="22"/>
          <w:szCs w:val="22"/>
        </w:rPr>
        <w:t xml:space="preserve">Transaction involves a jurisdiction with high corruption or ML/TF risk</w:t>
      </w:r>
    </w:p>
    <w:p>
      <w:pPr>
        <w:pStyle w:val="ListParagraph"/>
        <w:numPr>
          <w:ilvl w:val="0"/>
          <w:numId w:val="2"/>
        </w:numPr>
        <w:spacing w:before="40" w:after="40"/>
      </w:pPr>
      <w:r>
        <w:rPr>
          <w:rFonts w:ascii="Arial" w:cs="Arial" w:eastAsia="Arial" w:hAnsi="Arial"/>
          <w:sz w:val="22"/>
          <w:szCs w:val="22"/>
        </w:rPr>
        <w:t xml:space="preserve">Customer instructs the agent to transfer funds to an unexpected third party</w:t>
      </w:r>
    </w:p>
    <w:p>
      <w:pPr>
        <w:pStyle w:val="ListParagraph"/>
        <w:numPr>
          <w:ilvl w:val="0"/>
          <w:numId w:val="2"/>
        </w:numPr>
        <w:spacing w:before="40" w:after="40"/>
      </w:pPr>
      <w:r>
        <w:rPr>
          <w:rFonts w:ascii="Arial" w:cs="Arial" w:eastAsia="Arial" w:hAnsi="Arial"/>
          <w:sz w:val="22"/>
          <w:szCs w:val="22"/>
        </w:rPr>
        <w:t xml:space="preserve">Seller accepts an offer significantly below market value without explanation</w:t>
      </w:r>
    </w:p>
    <w:p>
      <w:pPr>
        <w:pStyle w:val="ListParagraph"/>
        <w:numPr>
          <w:ilvl w:val="0"/>
          <w:numId w:val="2"/>
        </w:numPr>
        <w:spacing w:before="40" w:after="40"/>
      </w:pPr>
      <w:r>
        <w:rPr>
          <w:rFonts w:ascii="Arial" w:cs="Arial" w:eastAsia="Arial" w:hAnsi="Arial"/>
          <w:sz w:val="22"/>
          <w:szCs w:val="22"/>
        </w:rPr>
        <w:t xml:space="preserve">Property is sold and resold quickly at increasing prices with no clear improvement</w:t>
      </w:r>
    </w:p>
    <w:p>
      <w:pPr>
        <w:spacing w:before="200" w:after="0"/>
      </w:pPr>
      <w:r>
        <w:t xml:space="preserve"/>
      </w:r>
    </w:p>
    <w:p>
      <w:pPr>
        <w:pStyle w:val="Heading1"/>
        <w:spacing w:before="280" w:after="120"/>
      </w:pPr>
      <w:r>
        <w:rPr>
          <w:rFonts w:ascii="Arial" w:cs="Arial" w:eastAsia="Arial" w:hAnsi="Arial"/>
          <w:b/>
          <w:bCs/>
        </w:rPr>
        <w:t xml:space="preserve">8. Ongoing CDD &amp; Monitoring</w:t>
      </w:r>
    </w:p>
    <w:p>
      <w:pPr>
        <w:spacing w:before="60" w:after="80"/>
      </w:pPr>
      <w:r>
        <w:rPr>
          <w:rFonts w:ascii="Arial" w:cs="Arial" w:eastAsia="Arial" w:hAnsi="Arial"/>
          <w:sz w:val="22"/>
          <w:szCs w:val="22"/>
        </w:rPr>
        <w:t xml:space="preserve">CDD is not a one-time check — [Agency Name] must monitor each transaction through to settlement for signs of unusual activity.</w:t>
      </w:r>
    </w:p>
    <w:p>
      <w:pPr>
        <w:spacing w:before="60" w:after="80"/>
      </w:pPr>
      <w:r>
        <w:rPr>
          <w:rFonts w:ascii="Arial" w:cs="Arial" w:eastAsia="Arial" w:hAnsi="Arial"/>
          <w:sz w:val="22"/>
          <w:szCs w:val="22"/>
        </w:rPr>
        <w:t xml:space="preserve">Monitoring activities include:</w:t>
      </w:r>
    </w:p>
    <w:p>
      <w:pPr>
        <w:pStyle w:val="ListParagraph"/>
        <w:numPr>
          <w:ilvl w:val="0"/>
          <w:numId w:val="2"/>
        </w:numPr>
        <w:spacing w:before="40" w:after="40"/>
      </w:pPr>
      <w:r>
        <w:rPr>
          <w:rFonts w:ascii="Arial" w:cs="Arial" w:eastAsia="Arial" w:hAnsi="Arial"/>
          <w:sz w:val="22"/>
          <w:szCs w:val="22"/>
        </w:rPr>
        <w:t xml:space="preserve">Reviewing any changes in the customer's instructions or payment arrangements</w:t>
      </w:r>
    </w:p>
    <w:p>
      <w:pPr>
        <w:pStyle w:val="ListParagraph"/>
        <w:numPr>
          <w:ilvl w:val="0"/>
          <w:numId w:val="2"/>
        </w:numPr>
        <w:spacing w:before="40" w:after="40"/>
      </w:pPr>
      <w:r>
        <w:rPr>
          <w:rFonts w:ascii="Arial" w:cs="Arial" w:eastAsia="Arial" w:hAnsi="Arial"/>
          <w:sz w:val="22"/>
          <w:szCs w:val="22"/>
        </w:rPr>
        <w:t xml:space="preserve">Flagging any new information that changes the customer's risk profile</w:t>
      </w:r>
    </w:p>
    <w:p>
      <w:pPr>
        <w:pStyle w:val="ListParagraph"/>
        <w:numPr>
          <w:ilvl w:val="0"/>
          <w:numId w:val="2"/>
        </w:numPr>
        <w:spacing w:before="40" w:after="40"/>
      </w:pPr>
      <w:r>
        <w:rPr>
          <w:rFonts w:ascii="Arial" w:cs="Arial" w:eastAsia="Arial" w:hAnsi="Arial"/>
          <w:sz w:val="22"/>
          <w:szCs w:val="22"/>
        </w:rPr>
        <w:t xml:space="preserve">Checking for any late changes to the parties, price or settlement arrangements</w:t>
      </w:r>
    </w:p>
    <w:p>
      <w:pPr>
        <w:pStyle w:val="ListParagraph"/>
        <w:numPr>
          <w:ilvl w:val="0"/>
          <w:numId w:val="2"/>
        </w:numPr>
        <w:spacing w:before="40" w:after="40"/>
      </w:pPr>
      <w:r>
        <w:rPr>
          <w:rFonts w:ascii="Arial" w:cs="Arial" w:eastAsia="Arial" w:hAnsi="Arial"/>
          <w:sz w:val="22"/>
          <w:szCs w:val="22"/>
        </w:rPr>
        <w:t xml:space="preserve">Ensuring CDD remains current — if significant time passes between listing and exchange, update CDD where appropriate</w:t>
      </w:r>
    </w:p>
    <w:p>
      <w:pPr>
        <w:spacing w:before="60" w:after="80"/>
      </w:pPr>
      <w:r>
        <w:rPr>
          <w:rFonts w:ascii="Arial" w:cs="Arial" w:eastAsia="Arial" w:hAnsi="Arial"/>
          <w:sz w:val="22"/>
          <w:szCs w:val="22"/>
        </w:rPr>
        <w:t xml:space="preserve">If unusual activity is detected at any point, escalate to the AMLCO immediately.</w:t>
      </w:r>
    </w:p>
    <w:p>
      <w:pPr>
        <w:spacing w:before="200" w:after="0"/>
      </w:pPr>
      <w:r>
        <w:t xml:space="preserve"/>
      </w:r>
    </w:p>
    <w:p>
      <w:pPr>
        <w:pStyle w:val="Heading1"/>
        <w:spacing w:before="280" w:after="120"/>
      </w:pPr>
      <w:r>
        <w:rPr>
          <w:rFonts w:ascii="Arial" w:cs="Arial" w:eastAsia="Arial" w:hAnsi="Arial"/>
          <w:b/>
          <w:bCs/>
        </w:rPr>
        <w:t xml:space="preserve">9. CDD Record Keeping</w:t>
      </w:r>
    </w:p>
    <w:p>
      <w:pPr>
        <w:spacing w:before="60" w:after="80"/>
      </w:pPr>
      <w:r>
        <w:rPr>
          <w:rFonts w:ascii="Arial" w:cs="Arial" w:eastAsia="Arial" w:hAnsi="Arial"/>
          <w:sz w:val="22"/>
          <w:szCs w:val="22"/>
        </w:rPr>
        <w:t xml:space="preserve">All CDD records must be retained for 7 years from the date of the transaction or the date the record was created.</w:t>
      </w:r>
    </w:p>
    <w:p>
      <w:pPr>
        <w:spacing w:before="60" w:after="80"/>
      </w:pPr>
      <w:r>
        <w:rPr>
          <w:rFonts w:ascii="Arial" w:cs="Arial" w:eastAsia="Arial" w:hAnsi="Arial"/>
          <w:sz w:val="22"/>
          <w:szCs w:val="22"/>
        </w:rPr>
        <w:t xml:space="preserve">Records to retain for each transaction:</w:t>
      </w:r>
    </w:p>
    <w:p>
      <w:pPr>
        <w:pStyle w:val="ListParagraph"/>
        <w:numPr>
          <w:ilvl w:val="0"/>
          <w:numId w:val="2"/>
        </w:numPr>
        <w:spacing w:before="40" w:after="40"/>
      </w:pPr>
      <w:r>
        <w:rPr>
          <w:rFonts w:ascii="Arial" w:cs="Arial" w:eastAsia="Arial" w:hAnsi="Arial"/>
          <w:sz w:val="22"/>
          <w:szCs w:val="22"/>
        </w:rPr>
        <w:t xml:space="preserve">Copy of identity documents provided (or DVS verification reference)</w:t>
      </w:r>
    </w:p>
    <w:p>
      <w:pPr>
        <w:pStyle w:val="ListParagraph"/>
        <w:numPr>
          <w:ilvl w:val="0"/>
          <w:numId w:val="2"/>
        </w:numPr>
        <w:spacing w:before="40" w:after="40"/>
      </w:pPr>
      <w:r>
        <w:rPr>
          <w:rFonts w:ascii="Arial" w:cs="Arial" w:eastAsia="Arial" w:hAnsi="Arial"/>
          <w:sz w:val="22"/>
          <w:szCs w:val="22"/>
        </w:rPr>
        <w:t xml:space="preserve">Name, date of birth, address and occupation of each customer</w:t>
      </w:r>
    </w:p>
    <w:p>
      <w:pPr>
        <w:pStyle w:val="ListParagraph"/>
        <w:numPr>
          <w:ilvl w:val="0"/>
          <w:numId w:val="2"/>
        </w:numPr>
        <w:spacing w:before="40" w:after="40"/>
      </w:pPr>
      <w:r>
        <w:rPr>
          <w:rFonts w:ascii="Arial" w:cs="Arial" w:eastAsia="Arial" w:hAnsi="Arial"/>
          <w:sz w:val="22"/>
          <w:szCs w:val="22"/>
        </w:rPr>
        <w:t xml:space="preserve">PEP and sanctions screening outcome and date</w:t>
      </w:r>
    </w:p>
    <w:p>
      <w:pPr>
        <w:pStyle w:val="ListParagraph"/>
        <w:numPr>
          <w:ilvl w:val="0"/>
          <w:numId w:val="2"/>
        </w:numPr>
        <w:spacing w:before="40" w:after="40"/>
      </w:pPr>
      <w:r>
        <w:rPr>
          <w:rFonts w:ascii="Arial" w:cs="Arial" w:eastAsia="Arial" w:hAnsi="Arial"/>
          <w:sz w:val="22"/>
          <w:szCs w:val="22"/>
        </w:rPr>
        <w:t xml:space="preserve">Risk rating assigned and the basis for the rating</w:t>
      </w:r>
    </w:p>
    <w:p>
      <w:pPr>
        <w:pStyle w:val="ListParagraph"/>
        <w:numPr>
          <w:ilvl w:val="0"/>
          <w:numId w:val="2"/>
        </w:numPr>
        <w:spacing w:before="40" w:after="40"/>
      </w:pPr>
      <w:r>
        <w:rPr>
          <w:rFonts w:ascii="Arial" w:cs="Arial" w:eastAsia="Arial" w:hAnsi="Arial"/>
          <w:sz w:val="22"/>
          <w:szCs w:val="22"/>
        </w:rPr>
        <w:t xml:space="preserve">For High risk — record of enhanced CDD measures and senior manager approval</w:t>
      </w:r>
    </w:p>
    <w:p>
      <w:pPr>
        <w:pStyle w:val="ListParagraph"/>
        <w:numPr>
          <w:ilvl w:val="0"/>
          <w:numId w:val="2"/>
        </w:numPr>
        <w:spacing w:before="40" w:after="40"/>
      </w:pPr>
      <w:r>
        <w:rPr>
          <w:rFonts w:ascii="Arial" w:cs="Arial" w:eastAsia="Arial" w:hAnsi="Arial"/>
          <w:sz w:val="22"/>
          <w:szCs w:val="22"/>
        </w:rPr>
        <w:t xml:space="preserve">Date CDD was completed for the seller and for the buyer</w:t>
      </w:r>
    </w:p>
    <w:p>
      <w:pPr>
        <w:pStyle w:val="ListParagraph"/>
        <w:numPr>
          <w:ilvl w:val="0"/>
          <w:numId w:val="2"/>
        </w:numPr>
        <w:spacing w:before="40" w:after="40"/>
      </w:pPr>
      <w:r>
        <w:rPr>
          <w:rFonts w:ascii="Arial" w:cs="Arial" w:eastAsia="Arial" w:hAnsi="Arial"/>
          <w:sz w:val="22"/>
          <w:szCs w:val="22"/>
        </w:rPr>
        <w:t xml:space="preserve">Any legal reliance confirmation letters</w:t>
      </w:r>
    </w:p>
    <w:p>
      <w:pPr>
        <w:spacing w:before="60" w:after="80"/>
      </w:pPr>
      <w:r>
        <w:rPr>
          <w:rFonts w:ascii="Arial" w:cs="Arial" w:eastAsia="Arial" w:hAnsi="Arial"/>
          <w:i/>
          <w:iCs/>
          <w:color w:val="666666"/>
          <w:sz w:val="20"/>
          <w:szCs w:val="20"/>
        </w:rPr>
        <w:t xml:space="preserve">All records are maintained in the SimpleAML Listing Register.</w:t>
      </w:r>
    </w:p>
    <w:p>
      <w:pPr>
        <w:spacing w:before="24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DDDD" w:sz="1"/>
              <w:left w:val="single" w:color="DDDDDD" w:sz="1"/>
              <w:bottom w:val="single" w:color="DDDDDD" w:sz="1"/>
              <w:right w:val="single" w:color="DDDDDD" w:sz="1"/>
            </w:tcBorders>
            <w:shd w:fill="F5F5F5" w:val="clear"/>
            <w:tcMar>
              <w:top w:type="dxa" w:w="120"/>
              <w:left w:type="dxa" w:w="180"/>
              <w:bottom w:type="dxa" w:w="120"/>
              <w:right w:type="dxa" w:w="180"/>
            </w:tcMar>
          </w:tcPr>
          <w:p>
            <w:r>
              <w:rPr>
                <w:rFonts w:ascii="Arial" w:cs="Arial" w:eastAsia="Arial" w:hAnsi="Arial"/>
                <w:b/>
                <w:bCs/>
                <w:sz w:val="20"/>
                <w:szCs w:val="20"/>
              </w:rPr>
              <w:t xml:space="preserve">Important Notice</w:t>
            </w:r>
          </w:p>
          <w:p>
            <w:pPr>
              <w:spacing w:before="60"/>
            </w:pPr>
            <w:r>
              <w:rPr>
                <w:rFonts w:ascii="Arial" w:cs="Arial" w:eastAsia="Arial" w:hAnsi="Arial"/>
                <w:sz w:val="18"/>
                <w:szCs w:val="18"/>
              </w:rPr>
              <w:t xml:space="preserve">This template has been prepared by SimpleAML (Click Seed Pty Ltd ABN 87 656 256 567) as a starting point for Australian real estate agencies preparing their AML/CTF Program under Tranche 2 of the AML/CTF Act.</w:t>
            </w:r>
          </w:p>
          <w:p>
            <w:pPr>
              <w:spacing w:before="60"/>
            </w:pPr>
            <w:r>
              <w:rPr>
                <w:rFonts w:ascii="Arial" w:cs="Arial" w:eastAsia="Arial" w:hAnsi="Arial"/>
                <w:sz w:val="18"/>
                <w:szCs w:val="18"/>
              </w:rPr>
              <w:t xml:space="preserve">This template does not constitute legal advice. Your completed CDD procedures must reflect the specific circumstances of your agency and your actual risk profile.</w:t>
            </w:r>
          </w:p>
          <w:p>
            <w:pPr>
              <w:spacing w:before="60"/>
            </w:pPr>
            <w:r>
              <w:rPr>
                <w:rFonts w:ascii="Arial" w:cs="Arial" w:eastAsia="Arial" w:hAnsi="Arial"/>
                <w:b/>
                <w:bCs/>
                <w:sz w:val="18"/>
                <w:szCs w:val="18"/>
              </w:rPr>
              <w:t xml:space="preserve">For more information and compliance tools: simpleaml.com.au</w:t>
            </w:r>
          </w:p>
        </w:tc>
      </w:tr>
    </w:tbl>
    <w:sectPr>
      <w:footerReference w:type="default" r:id="rId6"/>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84040" w:sz="4" w:space="4"/>
      </w:pBdr>
      <w:spacing w:before="80"/>
      <w:jc w:val="center"/>
    </w:pPr>
    <w:r>
      <w:rPr>
        <w:rFonts w:ascii="Arial" w:cs="Arial" w:eastAsia="Arial" w:hAnsi="Arial"/>
        <w:color w:val="888888"/>
        <w:sz w:val="18"/>
        <w:szCs w:val="18"/>
      </w:rPr>
      <w:t xml:space="preserve">SimpleAML — AML/CTF Program Part B — Real Estate Agency    |    simpleaml.com.au    |    Page </w:t>
    </w:r>
    <w:r>
      <w:rPr>
        <w:rFonts w:ascii="Arial" w:cs="Arial" w:eastAsia="Arial" w:hAnsi="Arial"/>
        <w:color w:val="88888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pBdr>
        <w:bottom w:val="single" w:color="E84040" w:sz="4" w:space="4"/>
      </w:pBdr>
      <w:spacing w:before="320" w:after="140"/>
      <w:outlineLvl w:val="0"/>
    </w:pPr>
    <w:rPr>
      <w:rFonts w:ascii="Arial" w:cs="Arial" w:eastAsia="Arial" w:hAnsi="Arial"/>
      <w:b/>
      <w:bCs/>
      <w:color w:val="C0392B"/>
      <w:sz w:val="28"/>
      <w:szCs w:val="28"/>
    </w:rPr>
  </w:style>
  <w:style w:type="paragraph" w:styleId="Heading2">
    <w:name w:val="Heading 2"/>
    <w:basedOn w:val="Normal"/>
    <w:next w:val="Normal"/>
    <w:qFormat/>
    <w:pPr>
      <w:spacing w:before="240" w:after="100"/>
      <w:outlineLvl w:val="1"/>
    </w:pPr>
    <w:rPr>
      <w:rFonts w:ascii="Arial" w:cs="Arial" w:eastAsia="Arial" w:hAnsi="Arial"/>
      <w:b/>
      <w:bCs/>
      <w:color w:val="2C3E50"/>
      <w:sz w:val="24"/>
      <w:szCs w:val="24"/>
    </w:rPr>
  </w:style>
  <w:style w:type="paragraph" w:styleId="Heading3">
    <w:name w:val="Heading 3"/>
    <w:basedOn w:val="Normal"/>
    <w:next w:val="Normal"/>
    <w:qFormat/>
    <w:pPr>
      <w:spacing w:before="180" w:after="80"/>
      <w:outlineLvl w:val="2"/>
    </w:pPr>
    <w:rPr>
      <w:rFonts w:ascii="Arial" w:cs="Arial" w:eastAsia="Arial" w:hAnsi="Arial"/>
      <w:b/>
      <w:bCs/>
      <w:color w:val="2C3E50"/>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2026-03-22T20:33:43.583Z</dcterms:created>
  <dcterms:modified xsi:type="dcterms:W3CDTF">2026-03-22T20:33:43.584Z</dcterms:modified>
</cp:coreProperties>
</file>

<file path=docProps/custom.xml><?xml version="1.0" encoding="utf-8"?>
<Properties xmlns="http://schemas.openxmlformats.org/officeDocument/2006/custom-properties" xmlns:vt="http://schemas.openxmlformats.org/officeDocument/2006/docPropsVTypes"/>
</file>